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南阳职业学院公共艺术教育评估</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第四次自评检查工作情况</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一、工作安排与开展情况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（一）发布第三次自评检查报告暨第四次自评检查通知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共艺术教育评估第三次自评检查结束后，公共艺术评估办公室及时对检查情况和自评检查组整改意见进行了汇总，并于2022年1月6日发布了《南阳职业学院公共艺术教育评估第三次自评检查报告》，并根据第三次检查报告于2022年1月10日第一会议室召开公共艺术评估推进会，以便各责任单位顺利完成公共艺术教育评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（二）开展第四次自评检查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2022年3月15日，公共艺术评估办公室组织自评检查组在4-505室对公共艺术教育评估工作进行了第四次自评检查。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检查方式主要是查阅资料、质询和现场考察等。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检查项目包括9个一级指标、29个二级指标、39个观测点。检查内容包括：学校重视程度、公共艺术教育机构设置、课程开设、课外活动、师资队伍、经费、设施条件等。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第四次自评检查情况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从第四次自评检查情况来看，各责任单位都比较重视此项工作，相较前三次，本次整改工作力度较大，能够根据自评专家的意见和建议修改完善支撑材料，自评检查时大部分责任单位负责人均到现场与自评检查组对接，本次评估检查材料基本齐全，部分交叉材料质量有待提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在前三次检查中发现的公共艺术教育课程专用教室、公共艺术实践活动场所、艺术大型场馆活动场所等问题，目前均已在推进建设中，预计3月31日前大部分场所、教室能符合公共艺术教育评估的检查标准，三笔字实训室涉及招标等程序，预计到4月中旬左右完成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（二）自评得分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逐条对照评分标准，本次自评得分78.4分（总分100分）。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三、存在的主要问题与差距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（一）面向全体学生开设公共艺术教育课程方面</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提交的人才培养方案、开课通知、课表、大纲、进度表、任课教师、教案、课件、听课记录本、学生评教得分表、同行评教指标、院校两级督导记录本、教学质量评价、考核方案、考试试卷、考查课学生提交论文、课程成绩单、试卷分析、学生毕业成绩单，共20项材料中的开课学期、授课学生年级均出现不一致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（二）师资队伍建设方面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提供的教改、科研项目一览表格式不规范，前后内容不一致；缺乏省级课堂教学创新大赛材料；提供的课表中专任教师人均周课时仅2-4学时；缺少2022年绩效考核工作实施方案；缺少2017年以来公共艺术教师指导学生参加各类比赛的汇总表；缺少公共艺术类师资培训计划；缺少公共艺术类教师进修、培训证明材料；缺2021年技能竞赛奖励的红头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（三）面向全体学生开展艺术实践活动方面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提供的部分活动与公共艺术实践活动无关；材料整理不规范，材料和展演实施方案缺失。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（四）艺术类电子版图书刊物、音像资料方面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未提供艺术类电子版图书刊物和音像资料。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四、意见与建议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（一）持续推进艺术活动实践场所和公共艺术专用教室场所的建设。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（二）针对面向全体学生开设公共艺术教育课程方面问题开协调会，形成一致意见后统一整改、完善相关材料。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（三）各责任单位负责人为本单位提供材料的第一责任人，务必对相关提交材料进行审核，提高材料的质量。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（四）以档案盒为单位在准备的每个档案盒中放置一份档案盒内支撑材料目录，由各责任单位自行准备、打印，交公共艺术中心审核后放置在档案盒内。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1.南阳职业学院公共艺术教育工作评估第四次自评检查得分表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2.南阳职业学院公共艺术教育工作第四次自评检查单位材料提交得分情况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公共艺术教育评估办公室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0" w:firstLineChars="1500"/>
        <w:jc w:val="both"/>
        <w:textAlignment w:val="auto"/>
        <w:rPr>
          <w:rFonts w:hint="default" w:ascii="仿宋_GB2312" w:hAnsi="仿宋_GB2312" w:eastAsia="仿宋_GB2312" w:cs="仿宋_GB2312"/>
          <w:sz w:val="32"/>
          <w:szCs w:val="32"/>
          <w:highlight w:val="none"/>
          <w:lang w:val="en-US" w:eastAsia="zh-CN"/>
        </w:rPr>
        <w:sectPr>
          <w:footerReference r:id="rId3" w:type="default"/>
          <w:pgSz w:w="11906" w:h="16838"/>
          <w:pgMar w:top="2098" w:right="1474" w:bottom="1984" w:left="1587" w:header="851" w:footer="992" w:gutter="0"/>
          <w:cols w:space="0" w:num="1"/>
          <w:rtlGutter w:val="0"/>
          <w:docGrid w:type="lines" w:linePitch="316" w:charSpace="0"/>
        </w:sectPr>
      </w:pPr>
      <w:r>
        <w:rPr>
          <w:rFonts w:hint="eastAsia" w:ascii="仿宋_GB2312" w:hAnsi="仿宋_GB2312" w:eastAsia="仿宋_GB2312" w:cs="仿宋_GB2312"/>
          <w:sz w:val="32"/>
          <w:szCs w:val="32"/>
          <w:highlight w:val="none"/>
          <w:lang w:val="en-US" w:eastAsia="zh-CN"/>
        </w:rPr>
        <w:t>2022年3月15日</w:t>
      </w:r>
    </w:p>
    <w:tbl>
      <w:tblPr>
        <w:tblStyle w:val="5"/>
        <w:tblpPr w:leftFromText="180" w:rightFromText="180" w:vertAnchor="text" w:horzAnchor="page" w:tblpX="1152" w:tblpY="578"/>
        <w:tblOverlap w:val="never"/>
        <w:tblW w:w="14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5903"/>
        <w:gridCol w:w="705"/>
        <w:gridCol w:w="6502"/>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02" w:type="dxa"/>
            <w:gridSpan w:val="5"/>
            <w:tcBorders>
              <w:top w:val="nil"/>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36"/>
                <w:szCs w:val="36"/>
                <w:lang w:val="en-US" w:eastAsia="zh-CN"/>
              </w:rPr>
            </w:pPr>
            <w:r>
              <w:rPr>
                <w:rFonts w:hint="eastAsia" w:ascii="黑体" w:hAnsi="黑体" w:eastAsia="黑体" w:cs="黑体"/>
                <w:b w:val="0"/>
                <w:bCs w:val="0"/>
                <w:sz w:val="36"/>
                <w:szCs w:val="36"/>
                <w:lang w:val="en-US" w:eastAsia="zh-CN"/>
              </w:rPr>
              <w:t>附表1：</w:t>
            </w:r>
            <w:r>
              <w:rPr>
                <w:rFonts w:hint="eastAsia" w:ascii="仿宋" w:hAnsi="仿宋" w:eastAsia="仿宋" w:cs="仿宋"/>
                <w:b w:val="0"/>
                <w:bCs w:val="0"/>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bCs/>
                <w:sz w:val="28"/>
                <w:szCs w:val="28"/>
                <w:lang w:val="en-US" w:eastAsia="zh-CN"/>
              </w:rPr>
            </w:pPr>
            <w:r>
              <w:rPr>
                <w:rFonts w:hint="eastAsia" w:ascii="方正小标宋简体" w:hAnsi="方正小标宋简体" w:eastAsia="方正小标宋简体" w:cs="方正小标宋简体"/>
                <w:b w:val="0"/>
                <w:bCs w:val="0"/>
                <w:sz w:val="44"/>
                <w:szCs w:val="44"/>
                <w:lang w:val="en-US" w:eastAsia="zh-CN"/>
              </w:rPr>
              <w:t>南阳职业学院公共艺术教育工作评估第四次自评检查得分表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5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kern w:val="2"/>
                <w:sz w:val="28"/>
                <w:szCs w:val="28"/>
                <w:highlight w:val="none"/>
                <w:vertAlign w:val="baseline"/>
                <w:lang w:val="en-US" w:eastAsia="zh-CN" w:bidi="ar-SA"/>
              </w:rPr>
            </w:pPr>
            <w:r>
              <w:rPr>
                <w:rFonts w:hint="eastAsia" w:ascii="黑体" w:hAnsi="黑体" w:eastAsia="黑体" w:cs="黑体"/>
                <w:b w:val="0"/>
                <w:bCs w:val="0"/>
                <w:sz w:val="28"/>
                <w:szCs w:val="28"/>
                <w:highlight w:val="none"/>
                <w:vertAlign w:val="baseline"/>
                <w:lang w:val="en-US" w:eastAsia="zh-CN"/>
              </w:rPr>
              <w:t>序号</w:t>
            </w:r>
          </w:p>
        </w:tc>
        <w:tc>
          <w:tcPr>
            <w:tcW w:w="590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sz w:val="28"/>
                <w:szCs w:val="28"/>
                <w:highlight w:val="none"/>
                <w:vertAlign w:val="baseline"/>
                <w:lang w:val="en-US" w:eastAsia="zh-CN"/>
              </w:rPr>
              <w:t>观测点</w:t>
            </w:r>
          </w:p>
        </w:tc>
        <w:tc>
          <w:tcPr>
            <w:tcW w:w="705"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sz w:val="28"/>
                <w:szCs w:val="28"/>
                <w:highlight w:val="none"/>
                <w:vertAlign w:val="baseline"/>
                <w:lang w:val="en-US" w:eastAsia="zh-CN"/>
              </w:rPr>
              <w:t>分值</w:t>
            </w:r>
          </w:p>
        </w:tc>
        <w:tc>
          <w:tcPr>
            <w:tcW w:w="6502"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sz w:val="28"/>
                <w:szCs w:val="28"/>
                <w:lang w:val="en-US" w:eastAsia="zh-CN"/>
              </w:rPr>
              <w:t>检查情况</w:t>
            </w:r>
          </w:p>
        </w:tc>
        <w:tc>
          <w:tcPr>
            <w:tcW w:w="942"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sz w:val="28"/>
                <w:szCs w:val="28"/>
                <w:highlight w:val="none"/>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rPr>
              <w:t>全面贯彻党的教育方针，以立德树人为根本，公共艺术教育工作列入学校重要议事日程，纳入学校年度工作计划。</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65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合格</w:t>
            </w:r>
          </w:p>
        </w:tc>
        <w:tc>
          <w:tcPr>
            <w:tcW w:w="942" w:type="dxa"/>
            <w:vAlign w:val="center"/>
          </w:tcPr>
          <w:p>
            <w:pPr>
              <w:bidi w:val="0"/>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公共艺术教育工作列入学校年度工作总结</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65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合格</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C0C0C"/>
                <w:sz w:val="28"/>
                <w:szCs w:val="28"/>
                <w:lang w:val="en-US" w:eastAsia="zh-CN"/>
              </w:rPr>
            </w:pPr>
            <w:r>
              <w:rPr>
                <w:rFonts w:hint="eastAsia" w:ascii="仿宋" w:hAnsi="仿宋" w:eastAsia="仿宋" w:cs="仿宋"/>
                <w:color w:val="0C0C0C"/>
                <w:sz w:val="28"/>
                <w:szCs w:val="28"/>
                <w:lang w:val="en-US" w:eastAsia="zh-CN"/>
              </w:rPr>
              <w:t>3</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color w:val="0C0C0C"/>
                <w:sz w:val="28"/>
                <w:szCs w:val="28"/>
              </w:rPr>
              <w:t>成立艺术教育委员会，</w:t>
            </w:r>
            <w:r>
              <w:rPr>
                <w:rFonts w:hint="eastAsia" w:ascii="仿宋" w:hAnsi="仿宋" w:eastAsia="仿宋" w:cs="仿宋"/>
                <w:sz w:val="28"/>
                <w:szCs w:val="28"/>
              </w:rPr>
              <w:t>负责人由校级领导担任，</w:t>
            </w:r>
            <w:r>
              <w:rPr>
                <w:rFonts w:hint="eastAsia" w:ascii="仿宋" w:hAnsi="仿宋" w:eastAsia="仿宋" w:cs="仿宋"/>
                <w:color w:val="0C0C0C"/>
                <w:sz w:val="28"/>
                <w:szCs w:val="28"/>
              </w:rPr>
              <w:t>机构成员由宣传部、教务处、学生处、团委、公共艺术及专业艺术教学机构等单位负责人</w:t>
            </w:r>
            <w:r>
              <w:rPr>
                <w:rFonts w:hint="eastAsia" w:ascii="仿宋" w:hAnsi="仿宋" w:eastAsia="仿宋" w:cs="仿宋"/>
                <w:sz w:val="28"/>
                <w:szCs w:val="28"/>
              </w:rPr>
              <w:t>担任（相关文件）。</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C0C0C"/>
                <w:sz w:val="28"/>
                <w:szCs w:val="28"/>
                <w:lang w:val="en-US" w:eastAsia="zh-CN"/>
              </w:rPr>
            </w:pPr>
            <w:r>
              <w:rPr>
                <w:rFonts w:hint="eastAsia" w:ascii="仿宋" w:hAnsi="仿宋" w:eastAsia="仿宋" w:cs="仿宋"/>
                <w:color w:val="0C0C0C"/>
                <w:sz w:val="28"/>
                <w:szCs w:val="28"/>
                <w:lang w:val="en-US" w:eastAsia="zh-CN"/>
              </w:rPr>
              <w:t>2</w:t>
            </w:r>
          </w:p>
        </w:tc>
        <w:tc>
          <w:tcPr>
            <w:tcW w:w="65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lang w:val="en-US" w:eastAsia="zh-CN"/>
              </w:rPr>
              <w:t>合格</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rPr>
              <w:t>艺术教育委员会每学期至少召开一次会议，统筹全校公共艺术教育课程教学、艺术实践活动及校园文化环境建设等工作（会议记录）。</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w:t>
            </w:r>
          </w:p>
        </w:tc>
        <w:tc>
          <w:tcPr>
            <w:tcW w:w="65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2017年会议时间先后顺序出错</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pacing w:val="8"/>
                <w:sz w:val="28"/>
                <w:szCs w:val="28"/>
                <w:lang w:val="en-US" w:eastAsia="zh-CN"/>
              </w:rPr>
            </w:pPr>
            <w:r>
              <w:rPr>
                <w:rFonts w:hint="eastAsia" w:ascii="仿宋" w:hAnsi="仿宋" w:eastAsia="仿宋" w:cs="仿宋"/>
                <w:spacing w:val="8"/>
                <w:sz w:val="28"/>
                <w:szCs w:val="28"/>
                <w:lang w:val="en-US" w:eastAsia="zh-CN"/>
              </w:rPr>
              <w:t>5</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pacing w:val="8"/>
                <w:sz w:val="28"/>
                <w:szCs w:val="28"/>
              </w:rPr>
              <w:t>公共艺术教育教学机构为学校二级机构，</w:t>
            </w:r>
            <w:r>
              <w:rPr>
                <w:rFonts w:hint="eastAsia" w:ascii="仿宋" w:hAnsi="仿宋" w:eastAsia="仿宋" w:cs="仿宋"/>
                <w:spacing w:val="7"/>
                <w:sz w:val="28"/>
                <w:szCs w:val="28"/>
              </w:rPr>
              <w:t>专职领导岗位及一般岗位设置齐全，能够</w:t>
            </w:r>
            <w:r>
              <w:rPr>
                <w:rFonts w:hint="eastAsia" w:ascii="仿宋" w:hAnsi="仿宋" w:eastAsia="仿宋" w:cs="仿宋"/>
                <w:spacing w:val="-10"/>
                <w:sz w:val="28"/>
                <w:szCs w:val="28"/>
              </w:rPr>
              <w:t>正常开展工作</w:t>
            </w:r>
            <w:r>
              <w:rPr>
                <w:rFonts w:hint="eastAsia" w:ascii="仿宋" w:hAnsi="仿宋" w:eastAsia="仿宋" w:cs="仿宋"/>
                <w:spacing w:val="4"/>
                <w:sz w:val="28"/>
                <w:szCs w:val="28"/>
              </w:rPr>
              <w:t>（</w:t>
            </w:r>
            <w:r>
              <w:rPr>
                <w:rFonts w:hint="eastAsia" w:ascii="仿宋" w:hAnsi="仿宋" w:eastAsia="仿宋" w:cs="仿宋"/>
                <w:spacing w:val="5"/>
                <w:sz w:val="28"/>
                <w:szCs w:val="28"/>
              </w:rPr>
              <w:t xml:space="preserve">学校相关文件及相关网页； </w:t>
            </w:r>
            <w:r>
              <w:rPr>
                <w:rFonts w:hint="eastAsia" w:ascii="仿宋" w:hAnsi="仿宋" w:eastAsia="仿宋" w:cs="仿宋"/>
                <w:spacing w:val="8"/>
                <w:sz w:val="28"/>
                <w:szCs w:val="28"/>
              </w:rPr>
              <w:t>会议记录及工作总结</w:t>
            </w:r>
            <w:r>
              <w:rPr>
                <w:rFonts w:hint="eastAsia" w:ascii="仿宋" w:hAnsi="仿宋" w:eastAsia="仿宋" w:cs="仿宋"/>
                <w:spacing w:val="9"/>
                <w:sz w:val="28"/>
                <w:szCs w:val="28"/>
              </w:rPr>
              <w:t>）</w:t>
            </w:r>
            <w:r>
              <w:rPr>
                <w:rFonts w:hint="eastAsia" w:ascii="仿宋" w:hAnsi="仿宋" w:eastAsia="仿宋" w:cs="仿宋"/>
                <w:sz w:val="28"/>
                <w:szCs w:val="28"/>
              </w:rPr>
              <w:t>。</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pacing w:val="8"/>
                <w:sz w:val="28"/>
                <w:szCs w:val="28"/>
                <w:highlight w:val="none"/>
                <w:lang w:val="en-US" w:eastAsia="zh-CN"/>
              </w:rPr>
            </w:pPr>
            <w:r>
              <w:rPr>
                <w:rFonts w:hint="eastAsia" w:ascii="仿宋" w:hAnsi="仿宋" w:eastAsia="仿宋" w:cs="仿宋"/>
                <w:spacing w:val="8"/>
                <w:sz w:val="28"/>
                <w:szCs w:val="28"/>
                <w:highlight w:val="none"/>
                <w:lang w:val="en-US" w:eastAsia="zh-CN"/>
              </w:rPr>
              <w:t>8</w:t>
            </w:r>
          </w:p>
        </w:tc>
        <w:tc>
          <w:tcPr>
            <w:tcW w:w="65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会议记录及办公场所照片资料需彩印，办公设备不齐全，缺椅子4把</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rPr>
              <w:t>公共艺术教育工作纳入学校教学质量年度报告。</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w:t>
            </w:r>
          </w:p>
        </w:tc>
        <w:tc>
          <w:tcPr>
            <w:tcW w:w="65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有，其中艺术教师人数与师资队伍建设中提供的材料不一致</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每年制定学校公共艺术教育发展年度规划。</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w:t>
            </w:r>
          </w:p>
        </w:tc>
        <w:tc>
          <w:tcPr>
            <w:tcW w:w="65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合格</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rPr>
              <w:t>按照《全国普通高等学校公共艺术课程指导方案》要求，开齐开足 8 门艺术限选课程，并列入学校人才培养方案。</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5</w:t>
            </w:r>
          </w:p>
        </w:tc>
        <w:tc>
          <w:tcPr>
            <w:tcW w:w="650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选课通知中开设的课程、选课对象与其他材料提供的不一致；</w:t>
            </w:r>
          </w:p>
        </w:tc>
        <w:tc>
          <w:tcPr>
            <w:tcW w:w="94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rPr>
              <w:t>本科院校开设六种（专科四种）以上艺术限选课程，并列入学校人才培养方案。</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w:t>
            </w:r>
          </w:p>
        </w:tc>
        <w:tc>
          <w:tcPr>
            <w:tcW w:w="6502" w:type="dxa"/>
            <w:vMerge w:val="continue"/>
            <w:vAlign w:val="center"/>
          </w:tcPr>
          <w:p>
            <w:pPr>
              <w:keepNext w:val="0"/>
              <w:keepLines w:val="0"/>
              <w:pageBreakBefore w:val="0"/>
              <w:numPr>
                <w:ilvl w:val="0"/>
                <w:numId w:val="0"/>
              </w:numPr>
              <w:kinsoku/>
              <w:wordWrap/>
              <w:overflowPunct/>
              <w:topLinePunct w:val="0"/>
              <w:autoSpaceDE/>
              <w:autoSpaceDN/>
              <w:bidi w:val="0"/>
              <w:adjustRightInd/>
              <w:snapToGrid/>
              <w:spacing w:line="360" w:lineRule="exact"/>
              <w:ind w:leftChars="0"/>
              <w:textAlignment w:val="auto"/>
              <w:rPr>
                <w:rFonts w:hint="default" w:ascii="仿宋" w:hAnsi="仿宋" w:eastAsia="仿宋" w:cs="仿宋"/>
                <w:sz w:val="28"/>
                <w:szCs w:val="28"/>
                <w:highlight w:val="none"/>
                <w:vertAlign w:val="baseline"/>
                <w:lang w:val="en-US" w:eastAsia="zh-CN"/>
              </w:rPr>
            </w:pPr>
          </w:p>
        </w:tc>
        <w:tc>
          <w:tcPr>
            <w:tcW w:w="94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9</w:t>
            </w:r>
          </w:p>
        </w:tc>
        <w:tc>
          <w:tcPr>
            <w:tcW w:w="590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按照《全国普通高等学校公共艺术课程指导方案》要求，开设艺术类任选课程，并列入学校人才培养方案。</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w:t>
            </w:r>
          </w:p>
        </w:tc>
        <w:tc>
          <w:tcPr>
            <w:tcW w:w="6502"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合格</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10</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rPr>
              <w:t>每个学生修满公共艺术课程 2 个学分方能毕业（毕业生成绩单）。</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8</w:t>
            </w:r>
          </w:p>
        </w:tc>
        <w:tc>
          <w:tcPr>
            <w:tcW w:w="65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毕业生成绩单上都有2学分的</w:t>
            </w:r>
            <w:r>
              <w:rPr>
                <w:rFonts w:hint="eastAsia" w:ascii="仿宋" w:hAnsi="仿宋" w:eastAsia="仿宋" w:cs="仿宋"/>
                <w:sz w:val="28"/>
                <w:szCs w:val="28"/>
              </w:rPr>
              <w:t>公共艺术课程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但是开设的学期与其他材料提供的学期不一致。</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rPr>
              <w:t>按照《全国普通高等学校公共艺术课程指导方案》要求，课程目标明确，内容设置合理，有规范的课程大纲。</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w:t>
            </w:r>
          </w:p>
        </w:tc>
        <w:tc>
          <w:tcPr>
            <w:tcW w:w="65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19版大纲，格式不规范</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校级精品课、省级精品课、国家级精品课建设（分别对应：1 分、1.5 分、2 分）。</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w:t>
            </w:r>
          </w:p>
        </w:tc>
        <w:tc>
          <w:tcPr>
            <w:tcW w:w="65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校级精品在线开放课程，提供的立项申报书缺少负责人签字、专家论证意见、学院盖章等；缺少立项的红头文件。</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pacing w:val="-2"/>
                <w:sz w:val="28"/>
                <w:szCs w:val="28"/>
                <w:lang w:val="en-US" w:eastAsia="zh-CN"/>
              </w:rPr>
            </w:pPr>
            <w:r>
              <w:rPr>
                <w:rFonts w:hint="eastAsia" w:ascii="仿宋" w:hAnsi="仿宋" w:eastAsia="仿宋" w:cs="仿宋"/>
                <w:spacing w:val="-2"/>
                <w:sz w:val="28"/>
                <w:szCs w:val="28"/>
                <w:lang w:val="en-US" w:eastAsia="zh-CN"/>
              </w:rPr>
              <w:t>13</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pacing w:val="-2"/>
                <w:sz w:val="28"/>
                <w:szCs w:val="28"/>
              </w:rPr>
              <w:t>“教学质量评价体系”严谨、科学、全面。</w:t>
            </w:r>
            <w:r>
              <w:rPr>
                <w:rFonts w:hint="eastAsia" w:ascii="仿宋" w:hAnsi="仿宋" w:eastAsia="仿宋" w:cs="仿宋"/>
                <w:spacing w:val="8"/>
                <w:sz w:val="28"/>
                <w:szCs w:val="28"/>
              </w:rPr>
              <w:t>教学督导记录、听课记录、教研活动、教</w:t>
            </w:r>
            <w:r>
              <w:rPr>
                <w:rFonts w:hint="eastAsia" w:ascii="仿宋" w:hAnsi="仿宋" w:eastAsia="仿宋" w:cs="仿宋"/>
                <w:spacing w:val="5"/>
                <w:sz w:val="28"/>
                <w:szCs w:val="28"/>
              </w:rPr>
              <w:t>师评教、学生网上评教等材料齐全。</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pacing w:val="-2"/>
                <w:sz w:val="28"/>
                <w:szCs w:val="28"/>
                <w:highlight w:val="none"/>
                <w:lang w:val="en-US" w:eastAsia="zh-CN"/>
              </w:rPr>
            </w:pPr>
            <w:r>
              <w:rPr>
                <w:rFonts w:hint="eastAsia" w:ascii="仿宋" w:hAnsi="仿宋" w:eastAsia="仿宋" w:cs="仿宋"/>
                <w:spacing w:val="-2"/>
                <w:sz w:val="28"/>
                <w:szCs w:val="28"/>
                <w:highlight w:val="none"/>
                <w:lang w:val="en-US" w:eastAsia="zh-CN"/>
              </w:rPr>
              <w:t>2</w:t>
            </w:r>
          </w:p>
        </w:tc>
        <w:tc>
          <w:tcPr>
            <w:tcW w:w="65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材料上显示的</w:t>
            </w:r>
            <w:r>
              <w:rPr>
                <w:rFonts w:hint="default" w:ascii="仿宋" w:hAnsi="仿宋" w:eastAsia="仿宋" w:cs="仿宋"/>
                <w:sz w:val="28"/>
                <w:szCs w:val="28"/>
                <w:highlight w:val="none"/>
                <w:vertAlign w:val="baseline"/>
                <w:lang w:val="en-US" w:eastAsia="zh-CN"/>
              </w:rPr>
              <w:t>学期与其他材料提供的学期不一致。</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rPr>
              <w:t>课程教案、授课计划、课件、评分标准等教学文件齐全。</w:t>
            </w:r>
          </w:p>
        </w:tc>
        <w:tc>
          <w:tcPr>
            <w:tcW w:w="705"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65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教案上同一门课程总学时有不一致的现象；课件上显示的时间与开设学期不一致；</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试卷、学生成绩及试卷分析等材料齐全。</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65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提供的试卷、学生成绩单中显示的开课学期与其他材料提供的学期不一致；试卷分析模板不一致，且有内容空缺，未填完整；</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7"/>
              <w:keepNext w:val="0"/>
              <w:keepLines w:val="0"/>
              <w:pageBreakBefore w:val="0"/>
              <w:widowControl w:val="0"/>
              <w:kinsoku/>
              <w:wordWrap/>
              <w:overflowPunct/>
              <w:topLinePunct w:val="0"/>
              <w:autoSpaceDE/>
              <w:autoSpaceDN/>
              <w:bidi w:val="0"/>
              <w:adjustRightInd/>
              <w:snapToGrid/>
              <w:spacing w:before="1" w:line="360" w:lineRule="exact"/>
              <w:ind w:right="-29"/>
              <w:jc w:val="center"/>
              <w:textAlignment w:val="auto"/>
              <w:rPr>
                <w:rFonts w:hint="eastAsia" w:ascii="仿宋" w:hAnsi="仿宋" w:eastAsia="仿宋" w:cs="仿宋"/>
                <w:spacing w:val="-2"/>
                <w:sz w:val="28"/>
                <w:szCs w:val="28"/>
                <w:lang w:val="en-US" w:eastAsia="zh-CN"/>
              </w:rPr>
            </w:pPr>
            <w:r>
              <w:rPr>
                <w:rFonts w:hint="eastAsia" w:ascii="仿宋" w:hAnsi="仿宋" w:eastAsia="仿宋" w:cs="仿宋"/>
                <w:spacing w:val="-2"/>
                <w:sz w:val="28"/>
                <w:szCs w:val="28"/>
                <w:lang w:val="en-US" w:eastAsia="zh-CN"/>
              </w:rPr>
              <w:t>16</w:t>
            </w:r>
          </w:p>
        </w:tc>
        <w:tc>
          <w:tcPr>
            <w:tcW w:w="5903" w:type="dxa"/>
            <w:vAlign w:val="center"/>
          </w:tcPr>
          <w:p>
            <w:pPr>
              <w:pStyle w:val="7"/>
              <w:keepNext w:val="0"/>
              <w:keepLines w:val="0"/>
              <w:pageBreakBefore w:val="0"/>
              <w:widowControl w:val="0"/>
              <w:kinsoku/>
              <w:wordWrap/>
              <w:overflowPunct/>
              <w:topLinePunct w:val="0"/>
              <w:autoSpaceDE/>
              <w:autoSpaceDN/>
              <w:bidi w:val="0"/>
              <w:adjustRightInd/>
              <w:snapToGrid/>
              <w:spacing w:before="1" w:line="360" w:lineRule="exact"/>
              <w:ind w:right="-29"/>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pacing w:val="-2"/>
                <w:sz w:val="28"/>
                <w:szCs w:val="28"/>
              </w:rPr>
              <w:t xml:space="preserve">每年举办 </w:t>
            </w:r>
            <w:r>
              <w:rPr>
                <w:rFonts w:hint="eastAsia" w:ascii="仿宋" w:hAnsi="仿宋" w:eastAsia="仿宋" w:cs="仿宋"/>
                <w:spacing w:val="2"/>
                <w:sz w:val="28"/>
                <w:szCs w:val="28"/>
              </w:rPr>
              <w:t>1-3</w:t>
            </w:r>
            <w:r>
              <w:rPr>
                <w:rFonts w:hint="eastAsia" w:ascii="仿宋" w:hAnsi="仿宋" w:eastAsia="仿宋" w:cs="仿宋"/>
                <w:spacing w:val="-9"/>
                <w:sz w:val="28"/>
                <w:szCs w:val="28"/>
              </w:rPr>
              <w:t xml:space="preserve"> 项专项艺术实践活动</w:t>
            </w:r>
            <w:r>
              <w:rPr>
                <w:rFonts w:hint="eastAsia" w:ascii="仿宋" w:hAnsi="仿宋" w:eastAsia="仿宋" w:cs="仿宋"/>
                <w:spacing w:val="4"/>
                <w:sz w:val="28"/>
                <w:szCs w:val="28"/>
              </w:rPr>
              <w:t>（</w:t>
            </w:r>
            <w:r>
              <w:rPr>
                <w:rFonts w:hint="eastAsia" w:ascii="仿宋" w:hAnsi="仿宋" w:eastAsia="仿宋" w:cs="仿宋"/>
                <w:spacing w:val="6"/>
                <w:sz w:val="28"/>
                <w:szCs w:val="28"/>
              </w:rPr>
              <w:t>合唱、</w:t>
            </w:r>
            <w:r>
              <w:rPr>
                <w:rFonts w:hint="eastAsia" w:ascii="仿宋" w:hAnsi="仿宋" w:eastAsia="仿宋" w:cs="仿宋"/>
                <w:spacing w:val="9"/>
                <w:sz w:val="28"/>
                <w:szCs w:val="28"/>
              </w:rPr>
              <w:t>书法等</w:t>
            </w:r>
            <w:r>
              <w:rPr>
                <w:rFonts w:hint="eastAsia" w:ascii="仿宋" w:hAnsi="仿宋" w:eastAsia="仿宋" w:cs="仿宋"/>
                <w:spacing w:val="-25"/>
                <w:sz w:val="28"/>
                <w:szCs w:val="28"/>
              </w:rPr>
              <w:t>），</w:t>
            </w:r>
            <w:r>
              <w:rPr>
                <w:rFonts w:hint="eastAsia" w:ascii="仿宋" w:hAnsi="仿宋" w:eastAsia="仿宋" w:cs="仿宋"/>
                <w:spacing w:val="2"/>
                <w:sz w:val="28"/>
                <w:szCs w:val="28"/>
              </w:rPr>
              <w:t>全校学生人人参与</w:t>
            </w:r>
            <w:r>
              <w:rPr>
                <w:rFonts w:hint="eastAsia" w:ascii="仿宋" w:hAnsi="仿宋" w:eastAsia="仿宋" w:cs="仿宋"/>
                <w:spacing w:val="9"/>
                <w:sz w:val="28"/>
                <w:szCs w:val="28"/>
              </w:rPr>
              <w:t>（</w:t>
            </w:r>
            <w:r>
              <w:rPr>
                <w:rFonts w:hint="eastAsia" w:ascii="仿宋" w:hAnsi="仿宋" w:eastAsia="仿宋" w:cs="仿宋"/>
                <w:spacing w:val="5"/>
                <w:sz w:val="28"/>
                <w:szCs w:val="28"/>
              </w:rPr>
              <w:t>活动方案、</w:t>
            </w:r>
            <w:r>
              <w:rPr>
                <w:rFonts w:hint="eastAsia" w:ascii="仿宋" w:hAnsi="仿宋" w:eastAsia="仿宋" w:cs="仿宋"/>
                <w:sz w:val="28"/>
                <w:szCs w:val="28"/>
              </w:rPr>
              <w:t>视频、图片等材料齐全）。</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65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部分活动不属于公共艺术实践活动；提供的材料不规范，存在材料缺失。</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right="78"/>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17</w:t>
            </w:r>
          </w:p>
        </w:tc>
        <w:tc>
          <w:tcPr>
            <w:tcW w:w="5903"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right="78"/>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rPr>
              <w:t>在全校学生参与活动的基础上，每年举办一次校级艺术实践集中展演活动，活动内容丰富多彩（活动方案、活动经费、活动图片、视频等材料齐全）。</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65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大学生艺术展演实施方案需再做完善</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18</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rPr>
              <w:t>积极参加河南省大学生艺术展演活动，并获得优异成绩（材料齐全）。</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p>
        </w:tc>
        <w:tc>
          <w:tcPr>
            <w:tcW w:w="65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合格</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19</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积极参加全国大学生艺术展演活动，并获得优异成绩（材料齐全）。</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143" w:rightChars="68"/>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w:t>
            </w:r>
          </w:p>
        </w:tc>
        <w:tc>
          <w:tcPr>
            <w:tcW w:w="65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合格</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75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right="-29"/>
              <w:jc w:val="center"/>
              <w:textAlignment w:val="auto"/>
              <w:rPr>
                <w:rFonts w:hint="default" w:ascii="仿宋" w:hAnsi="仿宋" w:eastAsia="仿宋" w:cs="仿宋"/>
                <w:spacing w:val="7"/>
                <w:sz w:val="28"/>
                <w:szCs w:val="28"/>
                <w:highlight w:val="none"/>
                <w:lang w:val="en-US" w:eastAsia="zh-CN"/>
              </w:rPr>
            </w:pPr>
            <w:r>
              <w:rPr>
                <w:rFonts w:hint="eastAsia" w:ascii="仿宋" w:hAnsi="仿宋" w:eastAsia="仿宋" w:cs="仿宋"/>
                <w:spacing w:val="7"/>
                <w:sz w:val="28"/>
                <w:szCs w:val="28"/>
                <w:highlight w:val="none"/>
                <w:lang w:val="en-US" w:eastAsia="zh-CN"/>
              </w:rPr>
              <w:t>20</w:t>
            </w:r>
          </w:p>
        </w:tc>
        <w:tc>
          <w:tcPr>
            <w:tcW w:w="5903"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right="-29"/>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pacing w:val="7"/>
                <w:sz w:val="28"/>
                <w:szCs w:val="28"/>
                <w:highlight w:val="none"/>
              </w:rPr>
              <w:t>成立校级各类艺术社团，本科院校有六类</w:t>
            </w:r>
            <w:r>
              <w:rPr>
                <w:rFonts w:hint="eastAsia" w:ascii="仿宋" w:hAnsi="仿宋" w:eastAsia="仿宋" w:cs="仿宋"/>
                <w:spacing w:val="9"/>
                <w:sz w:val="28"/>
                <w:szCs w:val="28"/>
                <w:highlight w:val="none"/>
              </w:rPr>
              <w:t>以上，专科四类以上（</w:t>
            </w:r>
            <w:r>
              <w:rPr>
                <w:rFonts w:hint="eastAsia" w:ascii="仿宋" w:hAnsi="仿宋" w:eastAsia="仿宋" w:cs="仿宋"/>
                <w:spacing w:val="8"/>
                <w:sz w:val="28"/>
                <w:szCs w:val="28"/>
                <w:highlight w:val="none"/>
              </w:rPr>
              <w:t>学校相关文件</w:t>
            </w:r>
            <w:r>
              <w:rPr>
                <w:rFonts w:hint="eastAsia" w:ascii="仿宋" w:hAnsi="仿宋" w:eastAsia="仿宋" w:cs="仿宋"/>
                <w:spacing w:val="4"/>
                <w:sz w:val="28"/>
                <w:szCs w:val="28"/>
                <w:highlight w:val="none"/>
              </w:rPr>
              <w:t xml:space="preserve">）； </w:t>
            </w:r>
            <w:r>
              <w:rPr>
                <w:rFonts w:hint="eastAsia" w:ascii="仿宋" w:hAnsi="仿宋" w:eastAsia="仿宋" w:cs="仿宋"/>
                <w:spacing w:val="-2"/>
                <w:sz w:val="28"/>
                <w:szCs w:val="28"/>
                <w:highlight w:val="none"/>
              </w:rPr>
              <w:t>有章程、指导教师、训练场地、专人管理、</w:t>
            </w:r>
            <w:r>
              <w:rPr>
                <w:rFonts w:hint="eastAsia" w:ascii="仿宋" w:hAnsi="仿宋" w:eastAsia="仿宋" w:cs="仿宋"/>
                <w:spacing w:val="9"/>
                <w:sz w:val="28"/>
                <w:szCs w:val="28"/>
                <w:highlight w:val="none"/>
              </w:rPr>
              <w:t>长年开展活动、管理档案齐全（</w:t>
            </w:r>
            <w:r>
              <w:rPr>
                <w:rFonts w:hint="eastAsia" w:ascii="仿宋" w:hAnsi="仿宋" w:eastAsia="仿宋" w:cs="仿宋"/>
                <w:spacing w:val="5"/>
                <w:sz w:val="28"/>
                <w:szCs w:val="28"/>
                <w:highlight w:val="none"/>
              </w:rPr>
              <w:t>视频、图</w:t>
            </w:r>
            <w:r>
              <w:rPr>
                <w:rFonts w:hint="eastAsia" w:ascii="仿宋" w:hAnsi="仿宋" w:eastAsia="仿宋" w:cs="仿宋"/>
                <w:sz w:val="28"/>
                <w:szCs w:val="28"/>
                <w:highlight w:val="none"/>
              </w:rPr>
              <w:t>片相关材料）。</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w:t>
            </w:r>
          </w:p>
        </w:tc>
        <w:tc>
          <w:tcPr>
            <w:tcW w:w="65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合格</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pacing w:val="-13"/>
                <w:sz w:val="28"/>
                <w:szCs w:val="28"/>
                <w:highlight w:val="none"/>
                <w:lang w:val="en-US" w:eastAsia="zh-CN"/>
              </w:rPr>
            </w:pPr>
            <w:r>
              <w:rPr>
                <w:rFonts w:hint="eastAsia" w:ascii="仿宋" w:hAnsi="仿宋" w:eastAsia="仿宋" w:cs="仿宋"/>
                <w:spacing w:val="-13"/>
                <w:sz w:val="28"/>
                <w:szCs w:val="28"/>
                <w:highlight w:val="none"/>
                <w:lang w:val="en-US" w:eastAsia="zh-CN"/>
              </w:rPr>
              <w:t>21</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pacing w:val="-13"/>
                <w:sz w:val="28"/>
                <w:szCs w:val="28"/>
                <w:highlight w:val="none"/>
              </w:rPr>
              <w:t>承办“高雅艺术进校园”活动</w:t>
            </w:r>
            <w:r>
              <w:rPr>
                <w:rFonts w:hint="eastAsia" w:ascii="仿宋" w:hAnsi="仿宋" w:eastAsia="仿宋" w:cs="仿宋"/>
                <w:spacing w:val="9"/>
                <w:sz w:val="28"/>
                <w:szCs w:val="28"/>
                <w:highlight w:val="none"/>
              </w:rPr>
              <w:t>（</w:t>
            </w:r>
            <w:r>
              <w:rPr>
                <w:rFonts w:hint="eastAsia" w:ascii="仿宋" w:hAnsi="仿宋" w:eastAsia="仿宋" w:cs="仿宋"/>
                <w:spacing w:val="7"/>
                <w:sz w:val="28"/>
                <w:szCs w:val="28"/>
                <w:highlight w:val="none"/>
              </w:rPr>
              <w:t>相关材料</w:t>
            </w:r>
            <w:r>
              <w:rPr>
                <w:rFonts w:hint="eastAsia" w:ascii="仿宋" w:hAnsi="仿宋" w:eastAsia="仿宋" w:cs="仿宋"/>
                <w:spacing w:val="-73"/>
                <w:sz w:val="28"/>
                <w:szCs w:val="28"/>
                <w:highlight w:val="none"/>
              </w:rPr>
              <w:t>）</w:t>
            </w:r>
            <w:r>
              <w:rPr>
                <w:rFonts w:hint="eastAsia" w:ascii="仿宋" w:hAnsi="仿宋" w:eastAsia="仿宋" w:cs="仿宋"/>
                <w:sz w:val="28"/>
                <w:szCs w:val="28"/>
                <w:highlight w:val="none"/>
              </w:rPr>
              <w:t>。</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pacing w:val="-13"/>
                <w:sz w:val="28"/>
                <w:szCs w:val="28"/>
                <w:highlight w:val="none"/>
                <w:lang w:val="en-US" w:eastAsia="zh-CN"/>
              </w:rPr>
            </w:pPr>
            <w:r>
              <w:rPr>
                <w:rFonts w:hint="eastAsia" w:ascii="仿宋" w:hAnsi="仿宋" w:eastAsia="仿宋" w:cs="仿宋"/>
                <w:spacing w:val="-13"/>
                <w:sz w:val="28"/>
                <w:szCs w:val="28"/>
                <w:highlight w:val="none"/>
                <w:lang w:val="en-US" w:eastAsia="zh-CN"/>
              </w:rPr>
              <w:t>2</w:t>
            </w:r>
          </w:p>
        </w:tc>
        <w:tc>
          <w:tcPr>
            <w:tcW w:w="65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部分活动主题不相关</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22</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rPr>
              <w:t>承办“戏曲进校园”活动（相关材料）。</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w:t>
            </w:r>
          </w:p>
        </w:tc>
        <w:tc>
          <w:tcPr>
            <w:tcW w:w="65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合格</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7"/>
              <w:keepNext w:val="0"/>
              <w:keepLines w:val="0"/>
              <w:pageBreakBefore w:val="0"/>
              <w:widowControl w:val="0"/>
              <w:kinsoku/>
              <w:wordWrap/>
              <w:overflowPunct/>
              <w:topLinePunct w:val="0"/>
              <w:autoSpaceDE/>
              <w:autoSpaceDN/>
              <w:bidi w:val="0"/>
              <w:adjustRightInd/>
              <w:snapToGrid/>
              <w:spacing w:before="15"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23</w:t>
            </w:r>
          </w:p>
        </w:tc>
        <w:tc>
          <w:tcPr>
            <w:tcW w:w="5903" w:type="dxa"/>
            <w:vAlign w:val="center"/>
          </w:tcPr>
          <w:p>
            <w:pPr>
              <w:pStyle w:val="7"/>
              <w:keepNext w:val="0"/>
              <w:keepLines w:val="0"/>
              <w:pageBreakBefore w:val="0"/>
              <w:widowControl w:val="0"/>
              <w:kinsoku/>
              <w:wordWrap/>
              <w:overflowPunct/>
              <w:topLinePunct w:val="0"/>
              <w:autoSpaceDE/>
              <w:autoSpaceDN/>
              <w:bidi w:val="0"/>
              <w:adjustRightInd/>
              <w:snapToGrid/>
              <w:spacing w:before="15"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rPr>
              <w:t>公共艺术教师人数占在校学生总数的0.15</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——0.2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，其中，专职教师人数占艺术教师总人数的 50</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以上。</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6</w:t>
            </w:r>
          </w:p>
        </w:tc>
        <w:tc>
          <w:tcPr>
            <w:tcW w:w="65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合格</w:t>
            </w:r>
          </w:p>
        </w:tc>
        <w:tc>
          <w:tcPr>
            <w:tcW w:w="94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kern w:val="2"/>
                <w:sz w:val="28"/>
                <w:szCs w:val="28"/>
                <w:highlight w:val="none"/>
                <w:lang w:val="en-US" w:eastAsia="zh-CN" w:bidi="zh-CN"/>
              </w:rPr>
            </w:pPr>
            <w:r>
              <w:rPr>
                <w:rFonts w:hint="eastAsia" w:ascii="仿宋" w:hAnsi="仿宋" w:eastAsia="仿宋" w:cs="仿宋"/>
                <w:kern w:val="2"/>
                <w:sz w:val="28"/>
                <w:szCs w:val="28"/>
                <w:highlight w:val="none"/>
                <w:lang w:val="en-US" w:eastAsia="zh-CN" w:bidi="zh-CN"/>
              </w:rPr>
              <w:t>24</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kern w:val="2"/>
                <w:sz w:val="28"/>
                <w:szCs w:val="28"/>
                <w:highlight w:val="none"/>
                <w:lang w:val="en-US" w:eastAsia="zh-CN" w:bidi="zh-CN"/>
              </w:rPr>
            </w:pPr>
            <w:r>
              <w:rPr>
                <w:rFonts w:hint="eastAsia" w:ascii="仿宋" w:hAnsi="仿宋" w:eastAsia="仿宋" w:cs="仿宋"/>
                <w:kern w:val="2"/>
                <w:sz w:val="28"/>
                <w:szCs w:val="28"/>
                <w:highlight w:val="none"/>
                <w:lang w:val="zh-CN" w:eastAsia="zh-CN" w:bidi="zh-CN"/>
              </w:rPr>
              <w:t>专、兼职教师业务档案信息完整（电子、纸质）。</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pacing w:val="-26"/>
                <w:sz w:val="28"/>
                <w:szCs w:val="28"/>
                <w:highlight w:val="none"/>
                <w:lang w:val="en-US" w:eastAsia="zh-CN"/>
              </w:rPr>
            </w:pPr>
            <w:r>
              <w:rPr>
                <w:rFonts w:hint="eastAsia" w:ascii="仿宋" w:hAnsi="仿宋" w:eastAsia="仿宋" w:cs="仿宋"/>
                <w:spacing w:val="-26"/>
                <w:sz w:val="28"/>
                <w:szCs w:val="28"/>
                <w:highlight w:val="none"/>
                <w:lang w:val="en-US" w:eastAsia="zh-CN"/>
              </w:rPr>
              <w:t>1</w:t>
            </w:r>
          </w:p>
        </w:tc>
        <w:tc>
          <w:tcPr>
            <w:tcW w:w="650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kern w:val="2"/>
                <w:sz w:val="28"/>
                <w:szCs w:val="28"/>
                <w:highlight w:val="none"/>
                <w:lang w:val="en-US" w:eastAsia="zh-CN" w:bidi="zh-CN"/>
              </w:rPr>
            </w:pPr>
            <w:r>
              <w:rPr>
                <w:rFonts w:hint="eastAsia" w:ascii="仿宋" w:hAnsi="仿宋" w:eastAsia="仿宋" w:cs="仿宋"/>
                <w:kern w:val="2"/>
                <w:sz w:val="28"/>
                <w:szCs w:val="28"/>
                <w:highlight w:val="none"/>
                <w:lang w:val="en-US" w:eastAsia="zh-CN" w:bidi="zh-CN"/>
              </w:rPr>
              <w:t>年度考核结果没填</w:t>
            </w:r>
          </w:p>
        </w:tc>
        <w:tc>
          <w:tcPr>
            <w:tcW w:w="94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pacing w:val="-2"/>
                <w:sz w:val="28"/>
                <w:szCs w:val="28"/>
                <w:highlight w:val="none"/>
                <w:lang w:val="en-US" w:eastAsia="zh-CN"/>
              </w:rPr>
            </w:pPr>
            <w:r>
              <w:rPr>
                <w:rFonts w:hint="eastAsia" w:ascii="仿宋" w:hAnsi="仿宋" w:eastAsia="仿宋" w:cs="仿宋"/>
                <w:spacing w:val="-2"/>
                <w:sz w:val="28"/>
                <w:szCs w:val="28"/>
                <w:highlight w:val="none"/>
                <w:lang w:val="en-US" w:eastAsia="zh-CN"/>
              </w:rPr>
              <w:t>25</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kern w:val="2"/>
                <w:sz w:val="28"/>
                <w:szCs w:val="28"/>
                <w:highlight w:val="none"/>
                <w:lang w:val="en-US" w:eastAsia="zh-CN" w:bidi="zh-CN"/>
              </w:rPr>
            </w:pPr>
            <w:r>
              <w:rPr>
                <w:rFonts w:hint="eastAsia" w:ascii="仿宋" w:hAnsi="仿宋" w:eastAsia="仿宋" w:cs="仿宋"/>
                <w:kern w:val="2"/>
                <w:sz w:val="28"/>
                <w:szCs w:val="28"/>
                <w:highlight w:val="none"/>
                <w:lang w:val="en-US" w:eastAsia="zh-CN" w:bidi="zh-CN"/>
              </w:rPr>
              <w:t>教师参加校、省级教改质量工程项目立项、结项相关材料（0.5 分、1 分）。</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pacing w:val="-2"/>
                <w:sz w:val="28"/>
                <w:szCs w:val="28"/>
                <w:highlight w:val="none"/>
                <w:lang w:val="en-US" w:eastAsia="zh-CN"/>
              </w:rPr>
            </w:pPr>
            <w:r>
              <w:rPr>
                <w:rFonts w:hint="eastAsia" w:ascii="仿宋" w:hAnsi="仿宋" w:eastAsia="仿宋" w:cs="仿宋"/>
                <w:spacing w:val="-2"/>
                <w:sz w:val="28"/>
                <w:szCs w:val="28"/>
                <w:highlight w:val="none"/>
                <w:lang w:val="en-US" w:eastAsia="zh-CN"/>
              </w:rPr>
              <w:t>1</w:t>
            </w:r>
          </w:p>
        </w:tc>
        <w:tc>
          <w:tcPr>
            <w:tcW w:w="650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kern w:val="2"/>
                <w:sz w:val="28"/>
                <w:szCs w:val="28"/>
                <w:highlight w:val="none"/>
                <w:lang w:val="en-US" w:eastAsia="zh-CN" w:bidi="zh-CN"/>
              </w:rPr>
            </w:pPr>
            <w:r>
              <w:rPr>
                <w:rFonts w:hint="eastAsia" w:ascii="仿宋" w:hAnsi="仿宋" w:eastAsia="仿宋" w:cs="仿宋"/>
                <w:kern w:val="2"/>
                <w:sz w:val="28"/>
                <w:szCs w:val="28"/>
                <w:highlight w:val="none"/>
                <w:lang w:val="en-US" w:eastAsia="zh-CN" w:bidi="zh-CN"/>
              </w:rPr>
              <w:t>教改科研项目一览表无表头，教改项目数量前后不对照</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5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26</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kern w:val="2"/>
                <w:sz w:val="28"/>
                <w:szCs w:val="28"/>
                <w:highlight w:val="none"/>
                <w:lang w:val="en-US" w:eastAsia="zh-CN" w:bidi="zh-CN"/>
              </w:rPr>
            </w:pPr>
            <w:r>
              <w:rPr>
                <w:rFonts w:hint="eastAsia" w:ascii="仿宋" w:hAnsi="仿宋" w:eastAsia="仿宋" w:cs="仿宋"/>
                <w:kern w:val="2"/>
                <w:sz w:val="28"/>
                <w:szCs w:val="28"/>
                <w:highlight w:val="none"/>
                <w:lang w:val="en-US" w:eastAsia="zh-CN" w:bidi="zh-CN"/>
              </w:rPr>
              <w:t>教师参加校、省级各类教学技能比赛获奖相关材料（0.5 分、1 分）。</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w:t>
            </w:r>
          </w:p>
        </w:tc>
        <w:tc>
          <w:tcPr>
            <w:tcW w:w="6502"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kern w:val="2"/>
                <w:sz w:val="28"/>
                <w:szCs w:val="28"/>
                <w:highlight w:val="none"/>
                <w:lang w:val="en-US" w:eastAsia="zh-CN" w:bidi="zh-CN"/>
              </w:rPr>
            </w:pPr>
            <w:r>
              <w:rPr>
                <w:rFonts w:hint="eastAsia" w:ascii="仿宋" w:hAnsi="仿宋" w:eastAsia="仿宋" w:cs="仿宋"/>
                <w:kern w:val="2"/>
                <w:sz w:val="28"/>
                <w:szCs w:val="28"/>
                <w:highlight w:val="none"/>
                <w:lang w:val="en-US" w:eastAsia="zh-CN" w:bidi="zh-CN"/>
              </w:rPr>
              <w:t>未准备省级课堂教学创新大赛材料</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27</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kern w:val="2"/>
                <w:sz w:val="28"/>
                <w:szCs w:val="28"/>
                <w:highlight w:val="none"/>
                <w:lang w:val="en-US" w:eastAsia="zh-CN" w:bidi="zh-CN"/>
              </w:rPr>
            </w:pPr>
            <w:r>
              <w:rPr>
                <w:rFonts w:hint="eastAsia" w:ascii="仿宋" w:hAnsi="仿宋" w:eastAsia="仿宋" w:cs="仿宋"/>
                <w:kern w:val="2"/>
                <w:sz w:val="28"/>
                <w:szCs w:val="28"/>
                <w:highlight w:val="none"/>
                <w:lang w:val="en-US" w:eastAsia="zh-CN" w:bidi="zh-CN"/>
              </w:rPr>
              <w:t>教师担任课程名称、完成教学工作量情况（相关材料）。</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w:t>
            </w:r>
          </w:p>
        </w:tc>
        <w:tc>
          <w:tcPr>
            <w:tcW w:w="650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kern w:val="2"/>
                <w:sz w:val="28"/>
                <w:szCs w:val="28"/>
                <w:highlight w:val="none"/>
                <w:lang w:val="en-US" w:eastAsia="zh-CN" w:bidi="zh-CN"/>
              </w:rPr>
            </w:pPr>
            <w:r>
              <w:rPr>
                <w:rFonts w:hint="eastAsia" w:ascii="仿宋" w:hAnsi="仿宋" w:eastAsia="仿宋" w:cs="仿宋"/>
                <w:kern w:val="2"/>
                <w:sz w:val="28"/>
                <w:szCs w:val="28"/>
                <w:highlight w:val="none"/>
                <w:lang w:val="en-US" w:eastAsia="zh-CN" w:bidi="zh-CN"/>
              </w:rPr>
              <w:t>课表中，周课时与专职教师基本课时量不符合、专职一周排2-4节课。</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pacing w:val="-15"/>
                <w:sz w:val="28"/>
                <w:szCs w:val="28"/>
                <w:highlight w:val="none"/>
                <w:lang w:val="en-US" w:eastAsia="zh-CN"/>
              </w:rPr>
            </w:pPr>
            <w:r>
              <w:rPr>
                <w:rFonts w:hint="eastAsia" w:ascii="仿宋" w:hAnsi="仿宋" w:eastAsia="仿宋" w:cs="仿宋"/>
                <w:spacing w:val="-15"/>
                <w:sz w:val="28"/>
                <w:szCs w:val="28"/>
                <w:highlight w:val="none"/>
                <w:lang w:val="en-US" w:eastAsia="zh-CN"/>
              </w:rPr>
              <w:t>28</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kern w:val="2"/>
                <w:sz w:val="28"/>
                <w:szCs w:val="28"/>
                <w:highlight w:val="none"/>
                <w:lang w:val="en-US" w:eastAsia="zh-CN" w:bidi="zh-CN"/>
              </w:rPr>
            </w:pPr>
            <w:r>
              <w:rPr>
                <w:rFonts w:hint="eastAsia" w:ascii="仿宋" w:hAnsi="仿宋" w:eastAsia="仿宋" w:cs="仿宋"/>
                <w:kern w:val="2"/>
                <w:sz w:val="28"/>
                <w:szCs w:val="28"/>
                <w:highlight w:val="none"/>
                <w:lang w:val="en-US" w:eastAsia="zh-CN" w:bidi="zh-CN"/>
              </w:rPr>
              <w:t>教师能够完成本校所规定的教科研工作量（学校科研工作考核文件及教师科研相关材料）。</w:t>
            </w:r>
          </w:p>
        </w:tc>
        <w:tc>
          <w:tcPr>
            <w:tcW w:w="705"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firstLine="250" w:firstLineChars="100"/>
              <w:jc w:val="both"/>
              <w:textAlignment w:val="auto"/>
              <w:rPr>
                <w:rFonts w:hint="eastAsia" w:ascii="仿宋" w:hAnsi="仿宋" w:eastAsia="仿宋" w:cs="仿宋"/>
                <w:spacing w:val="-15"/>
                <w:sz w:val="28"/>
                <w:szCs w:val="28"/>
                <w:highlight w:val="none"/>
                <w:lang w:val="en-US" w:eastAsia="zh-CN"/>
              </w:rPr>
            </w:pPr>
            <w:r>
              <w:rPr>
                <w:rFonts w:hint="eastAsia" w:ascii="仿宋" w:hAnsi="仿宋" w:eastAsia="仿宋" w:cs="仿宋"/>
                <w:spacing w:val="-15"/>
                <w:sz w:val="28"/>
                <w:szCs w:val="28"/>
                <w:highlight w:val="none"/>
                <w:lang w:val="en-US" w:eastAsia="zh-CN"/>
              </w:rPr>
              <w:t>1</w:t>
            </w:r>
          </w:p>
        </w:tc>
        <w:tc>
          <w:tcPr>
            <w:tcW w:w="650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kern w:val="2"/>
                <w:sz w:val="28"/>
                <w:szCs w:val="28"/>
                <w:highlight w:val="none"/>
                <w:lang w:val="en-US" w:eastAsia="zh-CN" w:bidi="zh-CN"/>
              </w:rPr>
            </w:pPr>
            <w:r>
              <w:rPr>
                <w:rFonts w:hint="eastAsia" w:ascii="仿宋" w:hAnsi="仿宋" w:eastAsia="仿宋" w:cs="仿宋"/>
                <w:kern w:val="2"/>
                <w:sz w:val="28"/>
                <w:szCs w:val="28"/>
                <w:highlight w:val="none"/>
                <w:lang w:val="en-US" w:eastAsia="zh-CN" w:bidi="zh-CN"/>
              </w:rPr>
              <w:t>缺少2022年绩效考核工作实施方案</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29</w:t>
            </w:r>
          </w:p>
        </w:tc>
        <w:tc>
          <w:tcPr>
            <w:tcW w:w="5903"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rPr>
              <w:t>教师指导学生参加市、省、国家级各类艺术</w:t>
            </w:r>
            <w:r>
              <w:rPr>
                <w:rFonts w:hint="eastAsia" w:ascii="仿宋" w:hAnsi="仿宋" w:eastAsia="仿宋" w:cs="仿宋"/>
                <w:spacing w:val="-10"/>
                <w:sz w:val="28"/>
                <w:szCs w:val="28"/>
                <w:highlight w:val="none"/>
              </w:rPr>
              <w:t>比赛获奖及相关材料</w:t>
            </w:r>
            <w:r>
              <w:rPr>
                <w:rFonts w:hint="eastAsia" w:ascii="仿宋" w:hAnsi="仿宋" w:eastAsia="仿宋" w:cs="仿宋"/>
                <w:spacing w:val="-5"/>
                <w:sz w:val="28"/>
                <w:szCs w:val="28"/>
                <w:highlight w:val="none"/>
              </w:rPr>
              <w:t>（1</w:t>
            </w:r>
            <w:r>
              <w:rPr>
                <w:rFonts w:hint="eastAsia" w:ascii="仿宋" w:hAnsi="仿宋" w:eastAsia="仿宋" w:cs="仿宋"/>
                <w:spacing w:val="-24"/>
                <w:sz w:val="28"/>
                <w:szCs w:val="28"/>
                <w:highlight w:val="none"/>
              </w:rPr>
              <w:t xml:space="preserve"> 分、</w:t>
            </w:r>
            <w:r>
              <w:rPr>
                <w:rFonts w:hint="eastAsia" w:ascii="仿宋" w:hAnsi="仿宋" w:eastAsia="仿宋" w:cs="仿宋"/>
                <w:sz w:val="28"/>
                <w:szCs w:val="28"/>
                <w:highlight w:val="none"/>
              </w:rPr>
              <w:t>1.5</w:t>
            </w:r>
            <w:r>
              <w:rPr>
                <w:rFonts w:hint="eastAsia" w:ascii="仿宋" w:hAnsi="仿宋" w:eastAsia="仿宋" w:cs="仿宋"/>
                <w:spacing w:val="-25"/>
                <w:sz w:val="28"/>
                <w:szCs w:val="28"/>
                <w:highlight w:val="none"/>
              </w:rPr>
              <w:t xml:space="preserve"> 分、</w:t>
            </w:r>
            <w:r>
              <w:rPr>
                <w:rFonts w:hint="eastAsia" w:ascii="仿宋" w:hAnsi="仿宋" w:eastAsia="仿宋" w:cs="仿宋"/>
                <w:sz w:val="28"/>
                <w:szCs w:val="28"/>
                <w:highlight w:val="none"/>
              </w:rPr>
              <w:t>2</w:t>
            </w:r>
            <w:r>
              <w:rPr>
                <w:rFonts w:hint="eastAsia" w:ascii="仿宋" w:hAnsi="仿宋" w:eastAsia="仿宋" w:cs="仿宋"/>
                <w:spacing w:val="-30"/>
                <w:sz w:val="28"/>
                <w:szCs w:val="28"/>
                <w:highlight w:val="none"/>
              </w:rPr>
              <w:t xml:space="preserve"> 分</w:t>
            </w:r>
            <w:r>
              <w:rPr>
                <w:rFonts w:hint="eastAsia" w:ascii="仿宋" w:hAnsi="仿宋" w:eastAsia="仿宋" w:cs="仿宋"/>
                <w:spacing w:val="-10"/>
                <w:sz w:val="28"/>
                <w:szCs w:val="28"/>
                <w:highlight w:val="none"/>
              </w:rPr>
              <w:t>）</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pacing w:val="-10"/>
                <w:sz w:val="28"/>
                <w:szCs w:val="28"/>
                <w:highlight w:val="none"/>
                <w:lang w:val="en-US" w:eastAsia="zh-CN"/>
              </w:rPr>
            </w:pPr>
            <w:r>
              <w:rPr>
                <w:rFonts w:hint="eastAsia" w:ascii="仿宋" w:hAnsi="仿宋" w:eastAsia="仿宋" w:cs="仿宋"/>
                <w:spacing w:val="-10"/>
                <w:sz w:val="28"/>
                <w:szCs w:val="28"/>
                <w:highlight w:val="none"/>
                <w:lang w:val="en-US" w:eastAsia="zh-CN"/>
              </w:rPr>
              <w:t>2</w:t>
            </w:r>
          </w:p>
        </w:tc>
        <w:tc>
          <w:tcPr>
            <w:tcW w:w="650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kern w:val="2"/>
                <w:sz w:val="28"/>
                <w:szCs w:val="28"/>
                <w:highlight w:val="none"/>
                <w:lang w:val="en-US" w:eastAsia="zh-CN" w:bidi="zh-CN"/>
              </w:rPr>
            </w:pPr>
            <w:r>
              <w:rPr>
                <w:rFonts w:hint="eastAsia" w:ascii="仿宋" w:hAnsi="仿宋" w:eastAsia="仿宋" w:cs="仿宋"/>
                <w:kern w:val="2"/>
                <w:sz w:val="28"/>
                <w:szCs w:val="28"/>
                <w:highlight w:val="none"/>
                <w:lang w:val="en-US" w:eastAsia="zh-CN" w:bidi="zh-CN"/>
              </w:rPr>
              <w:t>校级比赛无汇总表</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75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30</w:t>
            </w:r>
          </w:p>
        </w:tc>
        <w:tc>
          <w:tcPr>
            <w:tcW w:w="5903"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rPr>
              <w:t>近4年来有 50</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以上的教师参加过中、短期培训（相关证书及材料）。</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w:t>
            </w:r>
          </w:p>
        </w:tc>
        <w:tc>
          <w:tcPr>
            <w:tcW w:w="650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缺少公共艺术师资培训计划及证明材料</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pacing w:val="-17"/>
                <w:sz w:val="28"/>
                <w:szCs w:val="28"/>
                <w:highlight w:val="none"/>
                <w:lang w:val="en-US" w:eastAsia="zh-CN"/>
              </w:rPr>
            </w:pPr>
            <w:r>
              <w:rPr>
                <w:rFonts w:hint="eastAsia" w:ascii="仿宋" w:hAnsi="仿宋" w:eastAsia="仿宋" w:cs="仿宋"/>
                <w:spacing w:val="-17"/>
                <w:sz w:val="28"/>
                <w:szCs w:val="28"/>
                <w:highlight w:val="none"/>
                <w:lang w:val="en-US" w:eastAsia="zh-CN"/>
              </w:rPr>
              <w:t>31</w:t>
            </w:r>
          </w:p>
        </w:tc>
        <w:tc>
          <w:tcPr>
            <w:tcW w:w="5903"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pacing w:val="-17"/>
                <w:sz w:val="28"/>
                <w:szCs w:val="28"/>
                <w:highlight w:val="none"/>
              </w:rPr>
              <w:t>公共艺术教师在职务评聘、工资、住房、奖励</w:t>
            </w:r>
            <w:r>
              <w:rPr>
                <w:rFonts w:hint="eastAsia" w:ascii="仿宋" w:hAnsi="仿宋" w:eastAsia="仿宋" w:cs="仿宋"/>
                <w:sz w:val="28"/>
                <w:szCs w:val="28"/>
                <w:highlight w:val="none"/>
              </w:rPr>
              <w:t>等方面，享有与其他学科教师同等待遇。</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w:t>
            </w:r>
          </w:p>
        </w:tc>
        <w:tc>
          <w:tcPr>
            <w:tcW w:w="650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合格</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32</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rPr>
              <w:t>公共艺术教师指导学校组织的学生艺术实践活动计入教学工作量，学校出台有相关工作量计算办法文件并严格执行（相关材料）。</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5</w:t>
            </w:r>
          </w:p>
        </w:tc>
        <w:tc>
          <w:tcPr>
            <w:tcW w:w="650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缺少2021年技能竞赛奖励红头文件。</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33</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rPr>
              <w:t>公共艺术教育日常经费单独列入学校年度财务预算（学校文件）。</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6</w:t>
            </w:r>
          </w:p>
        </w:tc>
        <w:tc>
          <w:tcPr>
            <w:tcW w:w="650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lang w:val="en-US" w:eastAsia="zh-CN"/>
              </w:rPr>
              <w:t>合格</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34</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rPr>
              <w:t>公共艺术教育专项设施及活动专项经费申请批文及财务支出凭证。</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w:t>
            </w:r>
          </w:p>
        </w:tc>
        <w:tc>
          <w:tcPr>
            <w:tcW w:w="650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进一步完善2021年支出凭证</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pacing w:val="18"/>
                <w:sz w:val="28"/>
                <w:szCs w:val="28"/>
                <w:highlight w:val="none"/>
                <w:lang w:val="en-US" w:eastAsia="zh-CN"/>
              </w:rPr>
            </w:pPr>
            <w:r>
              <w:rPr>
                <w:rFonts w:hint="eastAsia" w:ascii="仿宋" w:hAnsi="仿宋" w:eastAsia="仿宋" w:cs="仿宋"/>
                <w:spacing w:val="18"/>
                <w:sz w:val="28"/>
                <w:szCs w:val="28"/>
                <w:highlight w:val="none"/>
                <w:lang w:val="en-US" w:eastAsia="zh-CN"/>
              </w:rPr>
              <w:t>35</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pacing w:val="18"/>
                <w:sz w:val="28"/>
                <w:szCs w:val="28"/>
                <w:highlight w:val="none"/>
              </w:rPr>
              <w:t>公共艺术教育教学机构日常经费使用情</w:t>
            </w:r>
            <w:r>
              <w:rPr>
                <w:rFonts w:hint="eastAsia" w:ascii="仿宋" w:hAnsi="仿宋" w:eastAsia="仿宋" w:cs="仿宋"/>
                <w:spacing w:val="-3"/>
                <w:sz w:val="28"/>
                <w:szCs w:val="28"/>
                <w:highlight w:val="none"/>
              </w:rPr>
              <w:t>况；专款专用情况；经费没有截留、挤占、</w:t>
            </w:r>
            <w:r>
              <w:rPr>
                <w:rFonts w:hint="eastAsia" w:ascii="仿宋" w:hAnsi="仿宋" w:eastAsia="仿宋" w:cs="仿宋"/>
                <w:spacing w:val="9"/>
                <w:sz w:val="28"/>
                <w:szCs w:val="28"/>
                <w:highlight w:val="none"/>
              </w:rPr>
              <w:t>挪用情况。</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pacing w:val="18"/>
                <w:sz w:val="28"/>
                <w:szCs w:val="28"/>
                <w:highlight w:val="none"/>
                <w:lang w:val="en-US" w:eastAsia="zh-CN"/>
              </w:rPr>
            </w:pPr>
            <w:r>
              <w:rPr>
                <w:rFonts w:hint="eastAsia" w:ascii="仿宋" w:hAnsi="仿宋" w:eastAsia="仿宋" w:cs="仿宋"/>
                <w:spacing w:val="18"/>
                <w:sz w:val="28"/>
                <w:szCs w:val="28"/>
                <w:highlight w:val="none"/>
                <w:lang w:val="en-US" w:eastAsia="zh-CN"/>
              </w:rPr>
              <w:t>2</w:t>
            </w:r>
          </w:p>
        </w:tc>
        <w:tc>
          <w:tcPr>
            <w:tcW w:w="650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决算报告需更换为红头文件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right="80"/>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36</w:t>
            </w:r>
          </w:p>
        </w:tc>
        <w:tc>
          <w:tcPr>
            <w:tcW w:w="5903"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right="80"/>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rPr>
              <w:t>学校具备开展艺术实践活动大型场馆，万人以上的学校应具备容纳 2000 人座位以上的场馆， 万人以下的学校应具备容纳1000 人座位以上的场馆，灯光、音响设备齐全。</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w:t>
            </w:r>
          </w:p>
        </w:tc>
        <w:tc>
          <w:tcPr>
            <w:tcW w:w="650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无相关场馆</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rPr>
              <w:t>学校具备开展艺术实践活动大型场馆，灯光、音响设备较齐全，但座位数量未达要求。</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w:t>
            </w:r>
          </w:p>
        </w:tc>
        <w:tc>
          <w:tcPr>
            <w:tcW w:w="650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材料明细基本齐全，但未分类；艺术实践活动大型场所与实践活动场所需分开统计</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37</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rPr>
              <w:t>各种艺术实践活动场所齐全，设施完备。</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w:t>
            </w:r>
          </w:p>
        </w:tc>
        <w:tc>
          <w:tcPr>
            <w:tcW w:w="650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lang w:val="en-US" w:eastAsia="zh-CN"/>
              </w:rPr>
              <w:t>缺部分场馆</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pacing w:val="-31"/>
                <w:sz w:val="28"/>
                <w:szCs w:val="28"/>
                <w:highlight w:val="none"/>
                <w:lang w:val="en-US" w:eastAsia="zh-CN"/>
              </w:rPr>
            </w:pPr>
            <w:r>
              <w:rPr>
                <w:rFonts w:hint="eastAsia" w:ascii="仿宋" w:hAnsi="仿宋" w:eastAsia="仿宋" w:cs="仿宋"/>
                <w:spacing w:val="-31"/>
                <w:sz w:val="28"/>
                <w:szCs w:val="28"/>
                <w:highlight w:val="none"/>
                <w:lang w:val="en-US" w:eastAsia="zh-CN"/>
              </w:rPr>
              <w:t>38</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rPr>
            </w:pPr>
            <w:r>
              <w:rPr>
                <w:rFonts w:hint="eastAsia" w:ascii="仿宋" w:hAnsi="仿宋" w:eastAsia="仿宋" w:cs="仿宋"/>
                <w:spacing w:val="-31"/>
                <w:sz w:val="28"/>
                <w:szCs w:val="28"/>
                <w:highlight w:val="none"/>
              </w:rPr>
              <w:t xml:space="preserve">每 </w:t>
            </w:r>
            <w:r>
              <w:rPr>
                <w:rFonts w:hint="eastAsia" w:ascii="仿宋" w:hAnsi="仿宋" w:eastAsia="仿宋" w:cs="仿宋"/>
                <w:spacing w:val="3"/>
                <w:sz w:val="28"/>
                <w:szCs w:val="28"/>
                <w:highlight w:val="none"/>
              </w:rPr>
              <w:t>2000</w:t>
            </w:r>
            <w:r>
              <w:rPr>
                <w:rFonts w:hint="eastAsia" w:ascii="仿宋" w:hAnsi="仿宋" w:eastAsia="仿宋" w:cs="仿宋"/>
                <w:spacing w:val="2"/>
                <w:sz w:val="28"/>
                <w:szCs w:val="28"/>
                <w:highlight w:val="none"/>
              </w:rPr>
              <w:t xml:space="preserve"> 名学生至少设置</w:t>
            </w:r>
            <w:r>
              <w:rPr>
                <w:rFonts w:hint="eastAsia" w:ascii="仿宋" w:hAnsi="仿宋" w:eastAsia="仿宋" w:cs="仿宋"/>
                <w:sz w:val="28"/>
                <w:szCs w:val="28"/>
                <w:highlight w:val="none"/>
              </w:rPr>
              <w:t>1</w:t>
            </w:r>
            <w:r>
              <w:rPr>
                <w:rFonts w:hint="eastAsia" w:ascii="仿宋" w:hAnsi="仿宋" w:eastAsia="仿宋" w:cs="仿宋"/>
                <w:spacing w:val="-4"/>
                <w:sz w:val="28"/>
                <w:szCs w:val="28"/>
                <w:highlight w:val="none"/>
              </w:rPr>
              <w:t xml:space="preserve"> 个公共艺术课程</w:t>
            </w:r>
            <w:r>
              <w:rPr>
                <w:rFonts w:hint="eastAsia" w:ascii="仿宋" w:hAnsi="仿宋" w:eastAsia="仿宋" w:cs="仿宋"/>
                <w:spacing w:val="8"/>
                <w:sz w:val="28"/>
                <w:szCs w:val="28"/>
                <w:highlight w:val="none"/>
              </w:rPr>
              <w:t>教学专用教室，专用教室的数量要能满足</w:t>
            </w:r>
            <w:r>
              <w:rPr>
                <w:rFonts w:hint="eastAsia" w:ascii="仿宋" w:hAnsi="仿宋" w:eastAsia="仿宋" w:cs="仿宋"/>
                <w:spacing w:val="7"/>
                <w:sz w:val="28"/>
                <w:szCs w:val="28"/>
                <w:highlight w:val="none"/>
              </w:rPr>
              <w:t>全校学生上课需要，专用教室的设施应符合教学需求。</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pacing w:val="-31"/>
                <w:sz w:val="28"/>
                <w:szCs w:val="28"/>
                <w:highlight w:val="none"/>
                <w:lang w:val="en-US" w:eastAsia="zh-CN"/>
              </w:rPr>
            </w:pPr>
            <w:r>
              <w:rPr>
                <w:rFonts w:hint="eastAsia" w:ascii="仿宋" w:hAnsi="仿宋" w:eastAsia="仿宋" w:cs="仿宋"/>
                <w:spacing w:val="-31"/>
                <w:sz w:val="28"/>
                <w:szCs w:val="28"/>
                <w:highlight w:val="none"/>
                <w:lang w:val="en-US" w:eastAsia="zh-CN"/>
              </w:rPr>
              <w:t>5</w:t>
            </w:r>
          </w:p>
        </w:tc>
        <w:tc>
          <w:tcPr>
            <w:tcW w:w="650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pacing w:val="-4"/>
                <w:sz w:val="28"/>
                <w:szCs w:val="28"/>
                <w:highlight w:val="none"/>
              </w:rPr>
              <w:t>公共艺术</w:t>
            </w:r>
            <w:r>
              <w:rPr>
                <w:rFonts w:hint="eastAsia" w:ascii="仿宋" w:hAnsi="仿宋" w:eastAsia="仿宋" w:cs="仿宋"/>
                <w:spacing w:val="8"/>
                <w:sz w:val="28"/>
                <w:szCs w:val="28"/>
                <w:highlight w:val="none"/>
              </w:rPr>
              <w:t>专用教室</w:t>
            </w:r>
            <w:r>
              <w:rPr>
                <w:rFonts w:hint="eastAsia" w:ascii="仿宋" w:hAnsi="仿宋" w:eastAsia="仿宋" w:cs="仿宋"/>
                <w:spacing w:val="8"/>
                <w:sz w:val="28"/>
                <w:szCs w:val="28"/>
                <w:highlight w:val="none"/>
                <w:lang w:val="en-US" w:eastAsia="zh-CN"/>
              </w:rPr>
              <w:t>不达标</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39</w:t>
            </w:r>
          </w:p>
        </w:tc>
        <w:tc>
          <w:tcPr>
            <w:tcW w:w="59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校图书馆馆藏艺术类图书音像资料齐全、能够满足教学、科研需要。</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w:t>
            </w:r>
          </w:p>
        </w:tc>
        <w:tc>
          <w:tcPr>
            <w:tcW w:w="650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缺电子图书和音像资料</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6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总  分</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100</w:t>
            </w:r>
          </w:p>
        </w:tc>
        <w:tc>
          <w:tcPr>
            <w:tcW w:w="65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得  分</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78.4</w:t>
            </w:r>
          </w:p>
        </w:tc>
      </w:tr>
    </w:tbl>
    <w:p>
      <w:pPr>
        <w:rPr>
          <w:rFonts w:hint="eastAsia"/>
          <w:highlight w:val="none"/>
          <w:lang w:val="en-US" w:eastAsia="zh-CN"/>
        </w:rPr>
      </w:pPr>
      <w:r>
        <w:rPr>
          <w:rFonts w:hint="eastAsia"/>
          <w:highlight w:val="none"/>
          <w:lang w:val="en-US" w:eastAsia="zh-CN"/>
        </w:rPr>
        <w:br w:type="page"/>
      </w:r>
    </w:p>
    <w:p>
      <w:pPr>
        <w:jc w:val="both"/>
        <w:rPr>
          <w:rFonts w:hint="eastAsia"/>
          <w:lang w:val="en-US" w:eastAsia="zh-CN"/>
        </w:rPr>
        <w:sectPr>
          <w:pgSz w:w="16838" w:h="11906" w:orient="landscape"/>
          <w:pgMar w:top="1032" w:right="1440" w:bottom="1066" w:left="1440" w:header="851" w:footer="992" w:gutter="0"/>
          <w:cols w:space="0" w:num="1"/>
          <w:rtlGutter w:val="0"/>
          <w:docGrid w:type="lines" w:linePitch="316"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32"/>
          <w:szCs w:val="32"/>
          <w:lang w:val="en-US" w:eastAsia="zh-CN"/>
        </w:rPr>
      </w:pPr>
      <w:r>
        <w:rPr>
          <w:rFonts w:hint="eastAsia" w:ascii="黑体" w:hAnsi="黑体" w:eastAsia="黑体" w:cs="黑体"/>
          <w:b w:val="0"/>
          <w:bCs w:val="0"/>
          <w:sz w:val="36"/>
          <w:szCs w:val="36"/>
          <w:lang w:val="en-US" w:eastAsia="zh-CN"/>
        </w:rPr>
        <w:t>附件2:</w:t>
      </w:r>
      <w:r>
        <w:rPr>
          <w:rFonts w:hint="eastAsia" w:ascii="方正小标宋简体" w:hAnsi="方正小标宋简体" w:eastAsia="方正小标宋简体" w:cs="方正小标宋简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南阳职业学院公共艺术教育工作</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黑体" w:hAnsi="黑体" w:eastAsia="黑体" w:cs="黑体"/>
          <w:sz w:val="44"/>
          <w:szCs w:val="44"/>
          <w:lang w:val="en-US" w:eastAsia="zh-CN"/>
        </w:rPr>
      </w:pPr>
      <w:r>
        <w:rPr>
          <w:rFonts w:hint="eastAsia" w:ascii="方正小标宋简体" w:hAnsi="方正小标宋简体" w:eastAsia="方正小标宋简体" w:cs="方正小标宋简体"/>
          <w:sz w:val="44"/>
          <w:szCs w:val="44"/>
          <w:lang w:val="en-US" w:eastAsia="zh-CN"/>
        </w:rPr>
        <w:t>第四次自评检查单位材料提交得分情况</w:t>
      </w:r>
    </w:p>
    <w:tbl>
      <w:tblPr>
        <w:tblStyle w:val="5"/>
        <w:tblW w:w="9074"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2969"/>
        <w:gridCol w:w="1621"/>
        <w:gridCol w:w="172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34"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序号</w:t>
            </w:r>
          </w:p>
        </w:tc>
        <w:tc>
          <w:tcPr>
            <w:tcW w:w="2969"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责任单位</w:t>
            </w:r>
          </w:p>
        </w:tc>
        <w:tc>
          <w:tcPr>
            <w:tcW w:w="1621"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提交率</w:t>
            </w:r>
          </w:p>
        </w:tc>
        <w:tc>
          <w:tcPr>
            <w:tcW w:w="1725"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合格率</w:t>
            </w:r>
          </w:p>
        </w:tc>
        <w:tc>
          <w:tcPr>
            <w:tcW w:w="1725"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034"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1</w:t>
            </w:r>
          </w:p>
        </w:tc>
        <w:tc>
          <w:tcPr>
            <w:tcW w:w="2969"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教务处</w:t>
            </w:r>
          </w:p>
        </w:tc>
        <w:tc>
          <w:tcPr>
            <w:tcW w:w="1621"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98%</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96%</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034"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2</w:t>
            </w:r>
          </w:p>
        </w:tc>
        <w:tc>
          <w:tcPr>
            <w:tcW w:w="2969"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人力资源部</w:t>
            </w:r>
          </w:p>
        </w:tc>
        <w:tc>
          <w:tcPr>
            <w:tcW w:w="1621"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98%</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96%</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034"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3</w:t>
            </w:r>
          </w:p>
        </w:tc>
        <w:tc>
          <w:tcPr>
            <w:tcW w:w="2969" w:type="dxa"/>
            <w:vAlign w:val="center"/>
          </w:tcPr>
          <w:p>
            <w:pPr>
              <w:keepNext w:val="0"/>
              <w:keepLines w:val="0"/>
              <w:widowControl/>
              <w:suppressLineNumbers w:val="0"/>
              <w:jc w:val="center"/>
              <w:textAlignment w:val="center"/>
              <w:rPr>
                <w:rFonts w:hint="eastAsia" w:ascii="黑体" w:hAnsi="黑体" w:eastAsia="黑体" w:cs="黑体"/>
                <w:sz w:val="32"/>
                <w:szCs w:val="32"/>
                <w:highlight w:val="none"/>
                <w:vertAlign w:val="baseline"/>
                <w:lang w:val="en-US" w:eastAsia="zh-CN"/>
              </w:rPr>
            </w:pPr>
            <w:r>
              <w:rPr>
                <w:rFonts w:hint="eastAsia" w:ascii="黑体" w:hAnsi="宋体" w:eastAsia="黑体" w:cs="黑体"/>
                <w:i w:val="0"/>
                <w:iCs w:val="0"/>
                <w:color w:val="000000"/>
                <w:kern w:val="0"/>
                <w:sz w:val="32"/>
                <w:szCs w:val="32"/>
                <w:u w:val="none"/>
                <w:lang w:val="en-US" w:eastAsia="zh-CN" w:bidi="ar"/>
              </w:rPr>
              <w:t>党政办公室</w:t>
            </w:r>
          </w:p>
        </w:tc>
        <w:tc>
          <w:tcPr>
            <w:tcW w:w="1621" w:type="dxa"/>
            <w:vAlign w:val="center"/>
          </w:tcPr>
          <w:p>
            <w:pPr>
              <w:keepNext w:val="0"/>
              <w:keepLines w:val="0"/>
              <w:widowControl/>
              <w:suppressLineNumbers w:val="0"/>
              <w:jc w:val="center"/>
              <w:textAlignment w:val="center"/>
              <w:rPr>
                <w:rFonts w:hint="default"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100%</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98%</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034"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3</w:t>
            </w:r>
          </w:p>
        </w:tc>
        <w:tc>
          <w:tcPr>
            <w:tcW w:w="2969"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科技外事处（教育评价中心）</w:t>
            </w:r>
          </w:p>
        </w:tc>
        <w:tc>
          <w:tcPr>
            <w:tcW w:w="1621"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100%</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98%</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034"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3</w:t>
            </w:r>
          </w:p>
        </w:tc>
        <w:tc>
          <w:tcPr>
            <w:tcW w:w="2969"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建筑与艺术设计学院</w:t>
            </w:r>
          </w:p>
        </w:tc>
        <w:tc>
          <w:tcPr>
            <w:tcW w:w="1621"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100%</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80%</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034"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3</w:t>
            </w:r>
          </w:p>
        </w:tc>
        <w:tc>
          <w:tcPr>
            <w:tcW w:w="2969"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教育学院</w:t>
            </w:r>
          </w:p>
        </w:tc>
        <w:tc>
          <w:tcPr>
            <w:tcW w:w="1621"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100%</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80%</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034"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7</w:t>
            </w:r>
          </w:p>
        </w:tc>
        <w:tc>
          <w:tcPr>
            <w:tcW w:w="2969"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财务处</w:t>
            </w:r>
          </w:p>
        </w:tc>
        <w:tc>
          <w:tcPr>
            <w:tcW w:w="1621" w:type="dxa"/>
            <w:vAlign w:val="center"/>
          </w:tcPr>
          <w:p>
            <w:pPr>
              <w:keepNext w:val="0"/>
              <w:keepLines w:val="0"/>
              <w:widowControl/>
              <w:suppressLineNumbers w:val="0"/>
              <w:jc w:val="center"/>
              <w:textAlignment w:val="center"/>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100%</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99%</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034"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8</w:t>
            </w:r>
          </w:p>
        </w:tc>
        <w:tc>
          <w:tcPr>
            <w:tcW w:w="2969"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公共艺术教育中心</w:t>
            </w:r>
          </w:p>
        </w:tc>
        <w:tc>
          <w:tcPr>
            <w:tcW w:w="1621"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100%</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98%</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034"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9</w:t>
            </w:r>
          </w:p>
        </w:tc>
        <w:tc>
          <w:tcPr>
            <w:tcW w:w="2969"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学生处</w:t>
            </w:r>
          </w:p>
        </w:tc>
        <w:tc>
          <w:tcPr>
            <w:tcW w:w="1621"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100%</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98%</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034"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10</w:t>
            </w:r>
          </w:p>
        </w:tc>
        <w:tc>
          <w:tcPr>
            <w:tcW w:w="2969"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图书馆</w:t>
            </w:r>
          </w:p>
        </w:tc>
        <w:tc>
          <w:tcPr>
            <w:tcW w:w="1621"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80%</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80%</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034"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11</w:t>
            </w:r>
          </w:p>
        </w:tc>
        <w:tc>
          <w:tcPr>
            <w:tcW w:w="2969"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后勤处</w:t>
            </w:r>
          </w:p>
        </w:tc>
        <w:tc>
          <w:tcPr>
            <w:tcW w:w="1621"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95%</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90%</w:t>
            </w:r>
          </w:p>
        </w:tc>
        <w:tc>
          <w:tcPr>
            <w:tcW w:w="1725" w:type="dxa"/>
            <w:vAlign w:val="center"/>
          </w:tcPr>
          <w:p>
            <w:pPr>
              <w:keepNext w:val="0"/>
              <w:keepLines w:val="0"/>
              <w:widowControl/>
              <w:suppressLineNumbers w:val="0"/>
              <w:jc w:val="center"/>
              <w:textAlignment w:val="cente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85%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BDE24C"/>
    <w:multiLevelType w:val="singleLevel"/>
    <w:tmpl w:val="6DBDE24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3CF6"/>
    <w:rsid w:val="00327CB1"/>
    <w:rsid w:val="0051542E"/>
    <w:rsid w:val="005C4D2E"/>
    <w:rsid w:val="00692FA7"/>
    <w:rsid w:val="00757B9E"/>
    <w:rsid w:val="0083050D"/>
    <w:rsid w:val="009B1948"/>
    <w:rsid w:val="00BE1545"/>
    <w:rsid w:val="00E84814"/>
    <w:rsid w:val="00F9432B"/>
    <w:rsid w:val="01233A9E"/>
    <w:rsid w:val="012D66CB"/>
    <w:rsid w:val="01545A05"/>
    <w:rsid w:val="017165B7"/>
    <w:rsid w:val="01746AF4"/>
    <w:rsid w:val="017716F4"/>
    <w:rsid w:val="018265FA"/>
    <w:rsid w:val="01A53F05"/>
    <w:rsid w:val="01AF3C95"/>
    <w:rsid w:val="01BD25FE"/>
    <w:rsid w:val="01C34939"/>
    <w:rsid w:val="01D152A8"/>
    <w:rsid w:val="01E925F2"/>
    <w:rsid w:val="01F80A87"/>
    <w:rsid w:val="02025461"/>
    <w:rsid w:val="02535CBD"/>
    <w:rsid w:val="025A529E"/>
    <w:rsid w:val="0273010D"/>
    <w:rsid w:val="02B56978"/>
    <w:rsid w:val="02BE582C"/>
    <w:rsid w:val="02C97591"/>
    <w:rsid w:val="02DA4630"/>
    <w:rsid w:val="02FF214C"/>
    <w:rsid w:val="031A0D17"/>
    <w:rsid w:val="032A1114"/>
    <w:rsid w:val="0341020B"/>
    <w:rsid w:val="03525F75"/>
    <w:rsid w:val="03595555"/>
    <w:rsid w:val="035B751F"/>
    <w:rsid w:val="036D7252"/>
    <w:rsid w:val="03830824"/>
    <w:rsid w:val="03E5328D"/>
    <w:rsid w:val="04051239"/>
    <w:rsid w:val="040525B0"/>
    <w:rsid w:val="042A6EF2"/>
    <w:rsid w:val="04407A2E"/>
    <w:rsid w:val="045126D0"/>
    <w:rsid w:val="0469627E"/>
    <w:rsid w:val="047B14FB"/>
    <w:rsid w:val="049C1B9D"/>
    <w:rsid w:val="049D76C3"/>
    <w:rsid w:val="04C9670A"/>
    <w:rsid w:val="04DC21BC"/>
    <w:rsid w:val="04E35A1E"/>
    <w:rsid w:val="050B0AD1"/>
    <w:rsid w:val="051F457C"/>
    <w:rsid w:val="05257DE5"/>
    <w:rsid w:val="05290F57"/>
    <w:rsid w:val="052F114A"/>
    <w:rsid w:val="054933A7"/>
    <w:rsid w:val="05720B50"/>
    <w:rsid w:val="057E1781"/>
    <w:rsid w:val="05B11678"/>
    <w:rsid w:val="05B60A3D"/>
    <w:rsid w:val="05C313AC"/>
    <w:rsid w:val="05D15877"/>
    <w:rsid w:val="05D37841"/>
    <w:rsid w:val="05DB04A3"/>
    <w:rsid w:val="05DD0DC2"/>
    <w:rsid w:val="05E03FD0"/>
    <w:rsid w:val="05E27A84"/>
    <w:rsid w:val="05F652DD"/>
    <w:rsid w:val="0624009C"/>
    <w:rsid w:val="066E57BB"/>
    <w:rsid w:val="06712BB6"/>
    <w:rsid w:val="06783F44"/>
    <w:rsid w:val="06A44D39"/>
    <w:rsid w:val="06C23411"/>
    <w:rsid w:val="06F061D0"/>
    <w:rsid w:val="06F1019E"/>
    <w:rsid w:val="07097292"/>
    <w:rsid w:val="070B25E0"/>
    <w:rsid w:val="071B47E8"/>
    <w:rsid w:val="0729059B"/>
    <w:rsid w:val="073B071A"/>
    <w:rsid w:val="074309F6"/>
    <w:rsid w:val="075C73C2"/>
    <w:rsid w:val="07691EA3"/>
    <w:rsid w:val="078B414B"/>
    <w:rsid w:val="078B7CA7"/>
    <w:rsid w:val="07A11196"/>
    <w:rsid w:val="07AD2313"/>
    <w:rsid w:val="07B76CEE"/>
    <w:rsid w:val="07BD661C"/>
    <w:rsid w:val="07D478A0"/>
    <w:rsid w:val="07D63618"/>
    <w:rsid w:val="07EF6488"/>
    <w:rsid w:val="081859DF"/>
    <w:rsid w:val="082405B5"/>
    <w:rsid w:val="086C7AD9"/>
    <w:rsid w:val="08874912"/>
    <w:rsid w:val="088C1F29"/>
    <w:rsid w:val="08A13C26"/>
    <w:rsid w:val="08CA47FF"/>
    <w:rsid w:val="08D13662"/>
    <w:rsid w:val="08E27D9B"/>
    <w:rsid w:val="09047D11"/>
    <w:rsid w:val="091C32AD"/>
    <w:rsid w:val="0923461E"/>
    <w:rsid w:val="092D54BA"/>
    <w:rsid w:val="09300B06"/>
    <w:rsid w:val="094D790A"/>
    <w:rsid w:val="09510A7C"/>
    <w:rsid w:val="09540C99"/>
    <w:rsid w:val="095A2027"/>
    <w:rsid w:val="09615163"/>
    <w:rsid w:val="096F5AD2"/>
    <w:rsid w:val="09A125DF"/>
    <w:rsid w:val="09A35B55"/>
    <w:rsid w:val="09A80FE4"/>
    <w:rsid w:val="09AA6B0A"/>
    <w:rsid w:val="09C851E3"/>
    <w:rsid w:val="09D604E0"/>
    <w:rsid w:val="09E27DEE"/>
    <w:rsid w:val="09EA6F07"/>
    <w:rsid w:val="09F2400E"/>
    <w:rsid w:val="0A1E12A6"/>
    <w:rsid w:val="0A27015B"/>
    <w:rsid w:val="0A375EC4"/>
    <w:rsid w:val="0A4B1DD2"/>
    <w:rsid w:val="0A5B7E05"/>
    <w:rsid w:val="0A71587A"/>
    <w:rsid w:val="0A7F7F97"/>
    <w:rsid w:val="0A8E01DA"/>
    <w:rsid w:val="0AB47515"/>
    <w:rsid w:val="0AC06B15"/>
    <w:rsid w:val="0ADE4913"/>
    <w:rsid w:val="0B2226D0"/>
    <w:rsid w:val="0B3F3282"/>
    <w:rsid w:val="0B4E35C8"/>
    <w:rsid w:val="0B57681E"/>
    <w:rsid w:val="0B5F3883"/>
    <w:rsid w:val="0B6902FF"/>
    <w:rsid w:val="0B772A1C"/>
    <w:rsid w:val="0B955598"/>
    <w:rsid w:val="0B9730BE"/>
    <w:rsid w:val="0B9C6927"/>
    <w:rsid w:val="0BA2132A"/>
    <w:rsid w:val="0BAA1044"/>
    <w:rsid w:val="0BB05F2E"/>
    <w:rsid w:val="0BD92113"/>
    <w:rsid w:val="0BE8391A"/>
    <w:rsid w:val="0C0D512F"/>
    <w:rsid w:val="0C1069CD"/>
    <w:rsid w:val="0C1B4CBB"/>
    <w:rsid w:val="0C2801BA"/>
    <w:rsid w:val="0C3A4A72"/>
    <w:rsid w:val="0C607954"/>
    <w:rsid w:val="0C686809"/>
    <w:rsid w:val="0C811679"/>
    <w:rsid w:val="0C8B31EB"/>
    <w:rsid w:val="0C8C0749"/>
    <w:rsid w:val="0C923886"/>
    <w:rsid w:val="0CB7037A"/>
    <w:rsid w:val="0CBE7382"/>
    <w:rsid w:val="0CCC5F49"/>
    <w:rsid w:val="0CDF6EFF"/>
    <w:rsid w:val="0CE95B9C"/>
    <w:rsid w:val="0CF14A50"/>
    <w:rsid w:val="0CF307C8"/>
    <w:rsid w:val="0CF41B21"/>
    <w:rsid w:val="0CF462EF"/>
    <w:rsid w:val="0D2766C4"/>
    <w:rsid w:val="0D295F98"/>
    <w:rsid w:val="0D4252AC"/>
    <w:rsid w:val="0D58687D"/>
    <w:rsid w:val="0D643474"/>
    <w:rsid w:val="0DA701FE"/>
    <w:rsid w:val="0DA9532B"/>
    <w:rsid w:val="0DAB2E51"/>
    <w:rsid w:val="0DB10F72"/>
    <w:rsid w:val="0DB25F8E"/>
    <w:rsid w:val="0DCB34F3"/>
    <w:rsid w:val="0DEF71E2"/>
    <w:rsid w:val="0E126000"/>
    <w:rsid w:val="0E176739"/>
    <w:rsid w:val="0E3E3CC5"/>
    <w:rsid w:val="0E3F1AD3"/>
    <w:rsid w:val="0E4532A6"/>
    <w:rsid w:val="0E4806A0"/>
    <w:rsid w:val="0E542A65"/>
    <w:rsid w:val="0E5C414B"/>
    <w:rsid w:val="0E690A7F"/>
    <w:rsid w:val="0E8A2A67"/>
    <w:rsid w:val="0EA24254"/>
    <w:rsid w:val="0EB665EC"/>
    <w:rsid w:val="0EC0292C"/>
    <w:rsid w:val="0EC1098F"/>
    <w:rsid w:val="0EC3241C"/>
    <w:rsid w:val="0ECD4593"/>
    <w:rsid w:val="0ED168E7"/>
    <w:rsid w:val="0EDB59B8"/>
    <w:rsid w:val="0EEA1757"/>
    <w:rsid w:val="0EFE3455"/>
    <w:rsid w:val="0F46302A"/>
    <w:rsid w:val="0F58581E"/>
    <w:rsid w:val="0F8A1DD4"/>
    <w:rsid w:val="0F955B67"/>
    <w:rsid w:val="0F9718DF"/>
    <w:rsid w:val="0FA83AEC"/>
    <w:rsid w:val="0FB53C9E"/>
    <w:rsid w:val="0FD7793A"/>
    <w:rsid w:val="0FF46D31"/>
    <w:rsid w:val="100B5E29"/>
    <w:rsid w:val="10127050"/>
    <w:rsid w:val="10161B57"/>
    <w:rsid w:val="10167D23"/>
    <w:rsid w:val="101F18D4"/>
    <w:rsid w:val="10234FF5"/>
    <w:rsid w:val="10273DFE"/>
    <w:rsid w:val="102F7D69"/>
    <w:rsid w:val="103465A8"/>
    <w:rsid w:val="10501A8E"/>
    <w:rsid w:val="10741C20"/>
    <w:rsid w:val="10785CCB"/>
    <w:rsid w:val="107F7A92"/>
    <w:rsid w:val="10863702"/>
    <w:rsid w:val="10970159"/>
    <w:rsid w:val="10E8616A"/>
    <w:rsid w:val="10F76014"/>
    <w:rsid w:val="10F863AD"/>
    <w:rsid w:val="10F91739"/>
    <w:rsid w:val="1102722C"/>
    <w:rsid w:val="11032084"/>
    <w:rsid w:val="110C00AB"/>
    <w:rsid w:val="11146F5F"/>
    <w:rsid w:val="112847B9"/>
    <w:rsid w:val="1145536B"/>
    <w:rsid w:val="11537A88"/>
    <w:rsid w:val="11691059"/>
    <w:rsid w:val="116C6D9B"/>
    <w:rsid w:val="11717F0E"/>
    <w:rsid w:val="119E01CB"/>
    <w:rsid w:val="11A26319"/>
    <w:rsid w:val="11C049F1"/>
    <w:rsid w:val="11CE5360"/>
    <w:rsid w:val="11D81D3B"/>
    <w:rsid w:val="11D866D5"/>
    <w:rsid w:val="11E608FC"/>
    <w:rsid w:val="11EB4164"/>
    <w:rsid w:val="11FD5C45"/>
    <w:rsid w:val="123258EF"/>
    <w:rsid w:val="125C342F"/>
    <w:rsid w:val="127B54E8"/>
    <w:rsid w:val="128B4FFF"/>
    <w:rsid w:val="12940358"/>
    <w:rsid w:val="12A54313"/>
    <w:rsid w:val="12CF75E2"/>
    <w:rsid w:val="12D1335A"/>
    <w:rsid w:val="13053004"/>
    <w:rsid w:val="131B45D5"/>
    <w:rsid w:val="13227CC0"/>
    <w:rsid w:val="132A2A6A"/>
    <w:rsid w:val="134D0507"/>
    <w:rsid w:val="136C7472"/>
    <w:rsid w:val="139E0D62"/>
    <w:rsid w:val="13A445CA"/>
    <w:rsid w:val="13A66595"/>
    <w:rsid w:val="13E64BE3"/>
    <w:rsid w:val="14096B23"/>
    <w:rsid w:val="141B53CD"/>
    <w:rsid w:val="141D612B"/>
    <w:rsid w:val="14296F75"/>
    <w:rsid w:val="142E20E6"/>
    <w:rsid w:val="1448764C"/>
    <w:rsid w:val="145C4EA5"/>
    <w:rsid w:val="14636234"/>
    <w:rsid w:val="148C0B6B"/>
    <w:rsid w:val="14B532FF"/>
    <w:rsid w:val="14CA62B3"/>
    <w:rsid w:val="14CB202B"/>
    <w:rsid w:val="14E51667"/>
    <w:rsid w:val="14FE41AE"/>
    <w:rsid w:val="15033573"/>
    <w:rsid w:val="15311E8E"/>
    <w:rsid w:val="1534372C"/>
    <w:rsid w:val="154D0C92"/>
    <w:rsid w:val="15565D98"/>
    <w:rsid w:val="1582093B"/>
    <w:rsid w:val="15836462"/>
    <w:rsid w:val="15924929"/>
    <w:rsid w:val="159A517C"/>
    <w:rsid w:val="15AF54A9"/>
    <w:rsid w:val="15B900D5"/>
    <w:rsid w:val="15EA703A"/>
    <w:rsid w:val="15F35395"/>
    <w:rsid w:val="15F86E50"/>
    <w:rsid w:val="161F262E"/>
    <w:rsid w:val="1638724C"/>
    <w:rsid w:val="16473933"/>
    <w:rsid w:val="164C2CF7"/>
    <w:rsid w:val="164D66E9"/>
    <w:rsid w:val="167C35DD"/>
    <w:rsid w:val="167C538B"/>
    <w:rsid w:val="16866209"/>
    <w:rsid w:val="16895CFA"/>
    <w:rsid w:val="16946B78"/>
    <w:rsid w:val="16986DD7"/>
    <w:rsid w:val="16A448E1"/>
    <w:rsid w:val="16C84A74"/>
    <w:rsid w:val="16CF5E02"/>
    <w:rsid w:val="16D43419"/>
    <w:rsid w:val="16D52CED"/>
    <w:rsid w:val="16E80C72"/>
    <w:rsid w:val="16F5513D"/>
    <w:rsid w:val="16FA2753"/>
    <w:rsid w:val="16FB4281"/>
    <w:rsid w:val="16FE3FF2"/>
    <w:rsid w:val="17035AAC"/>
    <w:rsid w:val="17124A88"/>
    <w:rsid w:val="172779EC"/>
    <w:rsid w:val="172872C1"/>
    <w:rsid w:val="17712A16"/>
    <w:rsid w:val="179761F4"/>
    <w:rsid w:val="17A54DB5"/>
    <w:rsid w:val="17B46DA6"/>
    <w:rsid w:val="17B9616B"/>
    <w:rsid w:val="17CA481C"/>
    <w:rsid w:val="17CC0594"/>
    <w:rsid w:val="17D17958"/>
    <w:rsid w:val="17FB6783"/>
    <w:rsid w:val="18055854"/>
    <w:rsid w:val="180614B5"/>
    <w:rsid w:val="180715CC"/>
    <w:rsid w:val="18185587"/>
    <w:rsid w:val="181D2B9D"/>
    <w:rsid w:val="18381785"/>
    <w:rsid w:val="18475E6C"/>
    <w:rsid w:val="184C6FDF"/>
    <w:rsid w:val="1859406C"/>
    <w:rsid w:val="18664544"/>
    <w:rsid w:val="186A1C00"/>
    <w:rsid w:val="18770500"/>
    <w:rsid w:val="18982224"/>
    <w:rsid w:val="18CB084B"/>
    <w:rsid w:val="18D92F68"/>
    <w:rsid w:val="18D94D16"/>
    <w:rsid w:val="18F90F15"/>
    <w:rsid w:val="191D6E14"/>
    <w:rsid w:val="193E726F"/>
    <w:rsid w:val="195E6FCA"/>
    <w:rsid w:val="19661C9C"/>
    <w:rsid w:val="197B5DCD"/>
    <w:rsid w:val="198C1D89"/>
    <w:rsid w:val="199155F1"/>
    <w:rsid w:val="19B60BB4"/>
    <w:rsid w:val="19F142E2"/>
    <w:rsid w:val="1A134258"/>
    <w:rsid w:val="1A495ECC"/>
    <w:rsid w:val="1A976C37"/>
    <w:rsid w:val="1AA94BBC"/>
    <w:rsid w:val="1AB07CF9"/>
    <w:rsid w:val="1AB35C25"/>
    <w:rsid w:val="1AEB0D31"/>
    <w:rsid w:val="1AEB2ADF"/>
    <w:rsid w:val="1AF4659D"/>
    <w:rsid w:val="1AF851FC"/>
    <w:rsid w:val="1B0818E3"/>
    <w:rsid w:val="1B087B35"/>
    <w:rsid w:val="1B0F0EC3"/>
    <w:rsid w:val="1B1E7D66"/>
    <w:rsid w:val="1B2B55D1"/>
    <w:rsid w:val="1B2B737F"/>
    <w:rsid w:val="1B5468D6"/>
    <w:rsid w:val="1B8847D2"/>
    <w:rsid w:val="1B9B3BA6"/>
    <w:rsid w:val="1BA17641"/>
    <w:rsid w:val="1BA710FC"/>
    <w:rsid w:val="1BB13D28"/>
    <w:rsid w:val="1BBB0967"/>
    <w:rsid w:val="1BF14125"/>
    <w:rsid w:val="1BF66E62"/>
    <w:rsid w:val="1C0025BA"/>
    <w:rsid w:val="1C316C17"/>
    <w:rsid w:val="1C454471"/>
    <w:rsid w:val="1C597F1C"/>
    <w:rsid w:val="1C69015F"/>
    <w:rsid w:val="1C6D2351"/>
    <w:rsid w:val="1C7F3E27"/>
    <w:rsid w:val="1CA473E9"/>
    <w:rsid w:val="1CAC2742"/>
    <w:rsid w:val="1CBC0D8A"/>
    <w:rsid w:val="1CF2284B"/>
    <w:rsid w:val="1CF87735"/>
    <w:rsid w:val="1D3B51A4"/>
    <w:rsid w:val="1D532BBD"/>
    <w:rsid w:val="1D57445C"/>
    <w:rsid w:val="1D6848BB"/>
    <w:rsid w:val="1D8316F5"/>
    <w:rsid w:val="1D9456B0"/>
    <w:rsid w:val="1DB16262"/>
    <w:rsid w:val="1DFD04C3"/>
    <w:rsid w:val="1DFD14A7"/>
    <w:rsid w:val="1E6E49F4"/>
    <w:rsid w:val="1E841CAD"/>
    <w:rsid w:val="1E8E0351"/>
    <w:rsid w:val="1EEA12FF"/>
    <w:rsid w:val="1F170346"/>
    <w:rsid w:val="1F38650F"/>
    <w:rsid w:val="1F9574BD"/>
    <w:rsid w:val="1FB96297"/>
    <w:rsid w:val="200308CB"/>
    <w:rsid w:val="200563F1"/>
    <w:rsid w:val="20310509"/>
    <w:rsid w:val="20531852"/>
    <w:rsid w:val="20541126"/>
    <w:rsid w:val="20547378"/>
    <w:rsid w:val="20621A95"/>
    <w:rsid w:val="206F5F60"/>
    <w:rsid w:val="207D242B"/>
    <w:rsid w:val="208F6887"/>
    <w:rsid w:val="20A40180"/>
    <w:rsid w:val="20B3409F"/>
    <w:rsid w:val="20B5214B"/>
    <w:rsid w:val="20CC33B3"/>
    <w:rsid w:val="20EE7E3D"/>
    <w:rsid w:val="20FA1CCE"/>
    <w:rsid w:val="211F71C2"/>
    <w:rsid w:val="212C5BFF"/>
    <w:rsid w:val="213845A4"/>
    <w:rsid w:val="216D6944"/>
    <w:rsid w:val="21751354"/>
    <w:rsid w:val="217C1947"/>
    <w:rsid w:val="2190618E"/>
    <w:rsid w:val="219673A5"/>
    <w:rsid w:val="21AB121A"/>
    <w:rsid w:val="21C127EB"/>
    <w:rsid w:val="21D56297"/>
    <w:rsid w:val="21F20BF7"/>
    <w:rsid w:val="22372AAE"/>
    <w:rsid w:val="224F429B"/>
    <w:rsid w:val="225D0766"/>
    <w:rsid w:val="226F0499"/>
    <w:rsid w:val="228850B7"/>
    <w:rsid w:val="228C2DF9"/>
    <w:rsid w:val="22981548"/>
    <w:rsid w:val="22D01594"/>
    <w:rsid w:val="22D8603F"/>
    <w:rsid w:val="22E46616"/>
    <w:rsid w:val="22EC5646"/>
    <w:rsid w:val="2335523F"/>
    <w:rsid w:val="23825FAA"/>
    <w:rsid w:val="238942A8"/>
    <w:rsid w:val="23A979DB"/>
    <w:rsid w:val="23E6478B"/>
    <w:rsid w:val="23F01166"/>
    <w:rsid w:val="23F22004"/>
    <w:rsid w:val="2432177F"/>
    <w:rsid w:val="244A4D1A"/>
    <w:rsid w:val="244D2189"/>
    <w:rsid w:val="24735BEE"/>
    <w:rsid w:val="247D1233"/>
    <w:rsid w:val="24973CD7"/>
    <w:rsid w:val="24A00DDE"/>
    <w:rsid w:val="24C26FA6"/>
    <w:rsid w:val="24C543A1"/>
    <w:rsid w:val="24D40A88"/>
    <w:rsid w:val="24F46A34"/>
    <w:rsid w:val="24F76C62"/>
    <w:rsid w:val="25090731"/>
    <w:rsid w:val="25140E84"/>
    <w:rsid w:val="25665B84"/>
    <w:rsid w:val="257638ED"/>
    <w:rsid w:val="25973F8F"/>
    <w:rsid w:val="25987D07"/>
    <w:rsid w:val="25A95A70"/>
    <w:rsid w:val="25AE12D9"/>
    <w:rsid w:val="25DA20CE"/>
    <w:rsid w:val="2622797D"/>
    <w:rsid w:val="26395046"/>
    <w:rsid w:val="263E08AF"/>
    <w:rsid w:val="263F63D5"/>
    <w:rsid w:val="2661459D"/>
    <w:rsid w:val="266D4846"/>
    <w:rsid w:val="26760048"/>
    <w:rsid w:val="26826131"/>
    <w:rsid w:val="268838D8"/>
    <w:rsid w:val="26A83F7A"/>
    <w:rsid w:val="26B75F6B"/>
    <w:rsid w:val="26EA4592"/>
    <w:rsid w:val="270A0791"/>
    <w:rsid w:val="27116B68"/>
    <w:rsid w:val="271635D9"/>
    <w:rsid w:val="27433CA3"/>
    <w:rsid w:val="275814FC"/>
    <w:rsid w:val="27765E26"/>
    <w:rsid w:val="27870033"/>
    <w:rsid w:val="278E3170"/>
    <w:rsid w:val="27B150B0"/>
    <w:rsid w:val="27CE17BE"/>
    <w:rsid w:val="27D74B17"/>
    <w:rsid w:val="280276BA"/>
    <w:rsid w:val="28033B5E"/>
    <w:rsid w:val="281171DA"/>
    <w:rsid w:val="28285372"/>
    <w:rsid w:val="282B6C11"/>
    <w:rsid w:val="282D0BDB"/>
    <w:rsid w:val="28620159"/>
    <w:rsid w:val="287225D7"/>
    <w:rsid w:val="288B3B53"/>
    <w:rsid w:val="2899001E"/>
    <w:rsid w:val="28A349F9"/>
    <w:rsid w:val="28A80261"/>
    <w:rsid w:val="28B9421C"/>
    <w:rsid w:val="28BD34E7"/>
    <w:rsid w:val="28DF73EB"/>
    <w:rsid w:val="28E31299"/>
    <w:rsid w:val="28F2772E"/>
    <w:rsid w:val="28F96D0F"/>
    <w:rsid w:val="2901535A"/>
    <w:rsid w:val="29345F99"/>
    <w:rsid w:val="29455AB0"/>
    <w:rsid w:val="29457AC6"/>
    <w:rsid w:val="29475CCC"/>
    <w:rsid w:val="2976035F"/>
    <w:rsid w:val="29886057"/>
    <w:rsid w:val="29995ED0"/>
    <w:rsid w:val="29A46C7B"/>
    <w:rsid w:val="29AA1DB7"/>
    <w:rsid w:val="29C0782D"/>
    <w:rsid w:val="29CB06AB"/>
    <w:rsid w:val="29D137E8"/>
    <w:rsid w:val="29DF7CB3"/>
    <w:rsid w:val="29E76B67"/>
    <w:rsid w:val="29E92677"/>
    <w:rsid w:val="29EA6657"/>
    <w:rsid w:val="29EE6148"/>
    <w:rsid w:val="29FB2613"/>
    <w:rsid w:val="29FD45DD"/>
    <w:rsid w:val="2A353D77"/>
    <w:rsid w:val="2A385615"/>
    <w:rsid w:val="2A500BB0"/>
    <w:rsid w:val="2A7A3E7F"/>
    <w:rsid w:val="2A88034A"/>
    <w:rsid w:val="2A994C3C"/>
    <w:rsid w:val="2AB033FD"/>
    <w:rsid w:val="2AB63744"/>
    <w:rsid w:val="2AB949A8"/>
    <w:rsid w:val="2ABE3D6C"/>
    <w:rsid w:val="2ACD0453"/>
    <w:rsid w:val="2AF459E0"/>
    <w:rsid w:val="2AF94DA4"/>
    <w:rsid w:val="2B0E44A7"/>
    <w:rsid w:val="2B1240B8"/>
    <w:rsid w:val="2B157704"/>
    <w:rsid w:val="2B2E151D"/>
    <w:rsid w:val="2B2F07C6"/>
    <w:rsid w:val="2B2F6A18"/>
    <w:rsid w:val="2B4D5B6C"/>
    <w:rsid w:val="2B6D12EE"/>
    <w:rsid w:val="2B8A1858"/>
    <w:rsid w:val="2B94598B"/>
    <w:rsid w:val="2BC43604"/>
    <w:rsid w:val="2BC453B2"/>
    <w:rsid w:val="2BD650E5"/>
    <w:rsid w:val="2BD82C0B"/>
    <w:rsid w:val="2BDE3F9A"/>
    <w:rsid w:val="2BDF21EC"/>
    <w:rsid w:val="2BE55328"/>
    <w:rsid w:val="2BFD08C4"/>
    <w:rsid w:val="2C0E2AD1"/>
    <w:rsid w:val="2C2062A9"/>
    <w:rsid w:val="2C2422F5"/>
    <w:rsid w:val="2C332538"/>
    <w:rsid w:val="2C3D5915"/>
    <w:rsid w:val="2C4E7372"/>
    <w:rsid w:val="2C5F332D"/>
    <w:rsid w:val="2C844B41"/>
    <w:rsid w:val="2C92725E"/>
    <w:rsid w:val="2CB2345D"/>
    <w:rsid w:val="2CDC497D"/>
    <w:rsid w:val="2CE04CCC"/>
    <w:rsid w:val="2CFE3634"/>
    <w:rsid w:val="2D1F6CCF"/>
    <w:rsid w:val="2D2869AD"/>
    <w:rsid w:val="2D5409B8"/>
    <w:rsid w:val="2D630BFB"/>
    <w:rsid w:val="2D6573F2"/>
    <w:rsid w:val="2D7050C6"/>
    <w:rsid w:val="2D713318"/>
    <w:rsid w:val="2DB87198"/>
    <w:rsid w:val="2DCC2C44"/>
    <w:rsid w:val="2DD0149C"/>
    <w:rsid w:val="2DDB69E3"/>
    <w:rsid w:val="2DDF0A87"/>
    <w:rsid w:val="2DE81100"/>
    <w:rsid w:val="2DFB52D7"/>
    <w:rsid w:val="2E053B4E"/>
    <w:rsid w:val="2E271C28"/>
    <w:rsid w:val="2E2A34C6"/>
    <w:rsid w:val="2E2E6511"/>
    <w:rsid w:val="2E344A67"/>
    <w:rsid w:val="2E450300"/>
    <w:rsid w:val="2E505623"/>
    <w:rsid w:val="2E8B21B7"/>
    <w:rsid w:val="2E960B5C"/>
    <w:rsid w:val="2EAE5EA6"/>
    <w:rsid w:val="2EB07E70"/>
    <w:rsid w:val="2EBC4A66"/>
    <w:rsid w:val="2EBF4557"/>
    <w:rsid w:val="2EC27BA3"/>
    <w:rsid w:val="2ED26038"/>
    <w:rsid w:val="2EE333D1"/>
    <w:rsid w:val="2EF453F7"/>
    <w:rsid w:val="2F3960B7"/>
    <w:rsid w:val="2F4131BE"/>
    <w:rsid w:val="2F5527C5"/>
    <w:rsid w:val="2F592015"/>
    <w:rsid w:val="2F721625"/>
    <w:rsid w:val="2FB71227"/>
    <w:rsid w:val="2FBE5D1A"/>
    <w:rsid w:val="2FCD1E69"/>
    <w:rsid w:val="2FD61B58"/>
    <w:rsid w:val="2FF975F4"/>
    <w:rsid w:val="30067FBE"/>
    <w:rsid w:val="30102C10"/>
    <w:rsid w:val="3034062C"/>
    <w:rsid w:val="304545E8"/>
    <w:rsid w:val="30A13BD7"/>
    <w:rsid w:val="30BE34F1"/>
    <w:rsid w:val="30D32092"/>
    <w:rsid w:val="30E87D95"/>
    <w:rsid w:val="30FD4EC2"/>
    <w:rsid w:val="31091AB9"/>
    <w:rsid w:val="31244B45"/>
    <w:rsid w:val="312D39F9"/>
    <w:rsid w:val="315216B2"/>
    <w:rsid w:val="315C5247"/>
    <w:rsid w:val="31662A68"/>
    <w:rsid w:val="31796C3F"/>
    <w:rsid w:val="3183186B"/>
    <w:rsid w:val="31921AAF"/>
    <w:rsid w:val="31A55C86"/>
    <w:rsid w:val="31AD0696"/>
    <w:rsid w:val="31C84C92"/>
    <w:rsid w:val="31FA216D"/>
    <w:rsid w:val="32077E6D"/>
    <w:rsid w:val="32244DFC"/>
    <w:rsid w:val="32472899"/>
    <w:rsid w:val="327A0EC0"/>
    <w:rsid w:val="327C3F92"/>
    <w:rsid w:val="32B048E2"/>
    <w:rsid w:val="32BA2E92"/>
    <w:rsid w:val="32BB196D"/>
    <w:rsid w:val="32BD0DAD"/>
    <w:rsid w:val="32D14858"/>
    <w:rsid w:val="32DD31FD"/>
    <w:rsid w:val="32E7407C"/>
    <w:rsid w:val="330B7D6A"/>
    <w:rsid w:val="33114C55"/>
    <w:rsid w:val="332E5807"/>
    <w:rsid w:val="3341553A"/>
    <w:rsid w:val="33423060"/>
    <w:rsid w:val="33612F7B"/>
    <w:rsid w:val="33727D48"/>
    <w:rsid w:val="3381627F"/>
    <w:rsid w:val="33972E5B"/>
    <w:rsid w:val="33C06DA7"/>
    <w:rsid w:val="33CF2B46"/>
    <w:rsid w:val="33D75E9F"/>
    <w:rsid w:val="340D18C0"/>
    <w:rsid w:val="342F5CDB"/>
    <w:rsid w:val="34433534"/>
    <w:rsid w:val="34473024"/>
    <w:rsid w:val="344828F8"/>
    <w:rsid w:val="344A2B14"/>
    <w:rsid w:val="344C23E9"/>
    <w:rsid w:val="34790D04"/>
    <w:rsid w:val="34833930"/>
    <w:rsid w:val="348532B2"/>
    <w:rsid w:val="34AB5668"/>
    <w:rsid w:val="34C5219B"/>
    <w:rsid w:val="350D34A2"/>
    <w:rsid w:val="352D008F"/>
    <w:rsid w:val="35564AE5"/>
    <w:rsid w:val="356B079A"/>
    <w:rsid w:val="356D0868"/>
    <w:rsid w:val="35700359"/>
    <w:rsid w:val="359871BA"/>
    <w:rsid w:val="35AB313F"/>
    <w:rsid w:val="35AD6EB7"/>
    <w:rsid w:val="35BC534C"/>
    <w:rsid w:val="35EB79DF"/>
    <w:rsid w:val="35F45195"/>
    <w:rsid w:val="35F76384"/>
    <w:rsid w:val="360A60B7"/>
    <w:rsid w:val="36145188"/>
    <w:rsid w:val="362A4564"/>
    <w:rsid w:val="36301896"/>
    <w:rsid w:val="36625EF3"/>
    <w:rsid w:val="366652B8"/>
    <w:rsid w:val="366D16D7"/>
    <w:rsid w:val="36714388"/>
    <w:rsid w:val="36AA7848"/>
    <w:rsid w:val="36AC110E"/>
    <w:rsid w:val="36E7464B"/>
    <w:rsid w:val="371B42F4"/>
    <w:rsid w:val="37441A9D"/>
    <w:rsid w:val="376161AB"/>
    <w:rsid w:val="37645C9B"/>
    <w:rsid w:val="37841E99"/>
    <w:rsid w:val="378837C3"/>
    <w:rsid w:val="37893954"/>
    <w:rsid w:val="379E11AD"/>
    <w:rsid w:val="37AF2AD9"/>
    <w:rsid w:val="37C30C14"/>
    <w:rsid w:val="37DC3A83"/>
    <w:rsid w:val="38627659"/>
    <w:rsid w:val="386817BB"/>
    <w:rsid w:val="386F035D"/>
    <w:rsid w:val="38706EFE"/>
    <w:rsid w:val="38787C50"/>
    <w:rsid w:val="38832151"/>
    <w:rsid w:val="388A7983"/>
    <w:rsid w:val="38A5656B"/>
    <w:rsid w:val="38B247E4"/>
    <w:rsid w:val="38B60547"/>
    <w:rsid w:val="38C56C0D"/>
    <w:rsid w:val="38E928FC"/>
    <w:rsid w:val="391A396D"/>
    <w:rsid w:val="39290F4A"/>
    <w:rsid w:val="392B4CC2"/>
    <w:rsid w:val="3938118D"/>
    <w:rsid w:val="395064D7"/>
    <w:rsid w:val="396957EB"/>
    <w:rsid w:val="396E4BAF"/>
    <w:rsid w:val="39C96289"/>
    <w:rsid w:val="39CE1AF2"/>
    <w:rsid w:val="39D07993"/>
    <w:rsid w:val="39D216BB"/>
    <w:rsid w:val="39DE1D35"/>
    <w:rsid w:val="39E3559D"/>
    <w:rsid w:val="39E906DA"/>
    <w:rsid w:val="39F529B9"/>
    <w:rsid w:val="39FE06B4"/>
    <w:rsid w:val="3A06434B"/>
    <w:rsid w:val="3A0C394B"/>
    <w:rsid w:val="3A101CB7"/>
    <w:rsid w:val="3A4122C4"/>
    <w:rsid w:val="3A4942C2"/>
    <w:rsid w:val="3A4B0735"/>
    <w:rsid w:val="3A4F678F"/>
    <w:rsid w:val="3A632861"/>
    <w:rsid w:val="3A6A181A"/>
    <w:rsid w:val="3A7461F5"/>
    <w:rsid w:val="3A886145"/>
    <w:rsid w:val="3A9B19D4"/>
    <w:rsid w:val="3AB331C1"/>
    <w:rsid w:val="3AB42A96"/>
    <w:rsid w:val="3AB605BC"/>
    <w:rsid w:val="3ACD4F74"/>
    <w:rsid w:val="3AD46C94"/>
    <w:rsid w:val="3B0752BB"/>
    <w:rsid w:val="3B135A0E"/>
    <w:rsid w:val="3B181276"/>
    <w:rsid w:val="3B223EA3"/>
    <w:rsid w:val="3B225C51"/>
    <w:rsid w:val="3B2319C9"/>
    <w:rsid w:val="3B312338"/>
    <w:rsid w:val="3B3B31B7"/>
    <w:rsid w:val="3B5D4EDB"/>
    <w:rsid w:val="3B762441"/>
    <w:rsid w:val="3B7B47DC"/>
    <w:rsid w:val="3B9052B1"/>
    <w:rsid w:val="3B9F72A2"/>
    <w:rsid w:val="3BB0325D"/>
    <w:rsid w:val="3BC72839"/>
    <w:rsid w:val="3BF07939"/>
    <w:rsid w:val="3C17152E"/>
    <w:rsid w:val="3C261771"/>
    <w:rsid w:val="3C2D0D52"/>
    <w:rsid w:val="3C5000BD"/>
    <w:rsid w:val="3CA56B3A"/>
    <w:rsid w:val="3CA803D8"/>
    <w:rsid w:val="3CB66F99"/>
    <w:rsid w:val="3CBC3E83"/>
    <w:rsid w:val="3CD613E9"/>
    <w:rsid w:val="3CDC0F56"/>
    <w:rsid w:val="3CE138EA"/>
    <w:rsid w:val="3CE56955"/>
    <w:rsid w:val="3D037D04"/>
    <w:rsid w:val="3D265768"/>
    <w:rsid w:val="3D332398"/>
    <w:rsid w:val="3D4C16AB"/>
    <w:rsid w:val="3D5F13DF"/>
    <w:rsid w:val="3D766728"/>
    <w:rsid w:val="3D85696B"/>
    <w:rsid w:val="3DA23AE8"/>
    <w:rsid w:val="3DBC05DF"/>
    <w:rsid w:val="3DBF59D9"/>
    <w:rsid w:val="3DD516A1"/>
    <w:rsid w:val="3DFD38F9"/>
    <w:rsid w:val="3E067AAC"/>
    <w:rsid w:val="3E151A9D"/>
    <w:rsid w:val="3E471DAE"/>
    <w:rsid w:val="3E646581"/>
    <w:rsid w:val="3E6D18D9"/>
    <w:rsid w:val="3E810DE9"/>
    <w:rsid w:val="3E824BC6"/>
    <w:rsid w:val="3E86299B"/>
    <w:rsid w:val="3EA80784"/>
    <w:rsid w:val="3EBE3EE3"/>
    <w:rsid w:val="3EC534C3"/>
    <w:rsid w:val="3EC82FB3"/>
    <w:rsid w:val="3F1E0094"/>
    <w:rsid w:val="3F2D72BA"/>
    <w:rsid w:val="3F446ADE"/>
    <w:rsid w:val="3F79605C"/>
    <w:rsid w:val="3FA27361"/>
    <w:rsid w:val="3FA330D9"/>
    <w:rsid w:val="3FDA2F9E"/>
    <w:rsid w:val="400155CC"/>
    <w:rsid w:val="401B7113"/>
    <w:rsid w:val="40210BCD"/>
    <w:rsid w:val="40233D47"/>
    <w:rsid w:val="40251D40"/>
    <w:rsid w:val="406867FC"/>
    <w:rsid w:val="409741F1"/>
    <w:rsid w:val="40E34C14"/>
    <w:rsid w:val="40E67721"/>
    <w:rsid w:val="40ED6D01"/>
    <w:rsid w:val="41120516"/>
    <w:rsid w:val="411B386E"/>
    <w:rsid w:val="412C5A7C"/>
    <w:rsid w:val="412F06F1"/>
    <w:rsid w:val="414F52C6"/>
    <w:rsid w:val="41614FF9"/>
    <w:rsid w:val="41636FC4"/>
    <w:rsid w:val="417D0085"/>
    <w:rsid w:val="41984EBF"/>
    <w:rsid w:val="41BB295C"/>
    <w:rsid w:val="41C54DD2"/>
    <w:rsid w:val="41D852BC"/>
    <w:rsid w:val="41F374E8"/>
    <w:rsid w:val="42002A64"/>
    <w:rsid w:val="42116A20"/>
    <w:rsid w:val="4214405D"/>
    <w:rsid w:val="42220C2D"/>
    <w:rsid w:val="42295B17"/>
    <w:rsid w:val="422E2862"/>
    <w:rsid w:val="42312C1E"/>
    <w:rsid w:val="42497F67"/>
    <w:rsid w:val="425E3A32"/>
    <w:rsid w:val="42703746"/>
    <w:rsid w:val="427E155D"/>
    <w:rsid w:val="4283791D"/>
    <w:rsid w:val="428B3415"/>
    <w:rsid w:val="42976F25"/>
    <w:rsid w:val="42AE426E"/>
    <w:rsid w:val="42E0618A"/>
    <w:rsid w:val="42FA42A2"/>
    <w:rsid w:val="430B16C1"/>
    <w:rsid w:val="43193DDE"/>
    <w:rsid w:val="43272171"/>
    <w:rsid w:val="43325CD8"/>
    <w:rsid w:val="43503578"/>
    <w:rsid w:val="435F575D"/>
    <w:rsid w:val="43721740"/>
    <w:rsid w:val="43851473"/>
    <w:rsid w:val="438C2802"/>
    <w:rsid w:val="43923B90"/>
    <w:rsid w:val="43A15B81"/>
    <w:rsid w:val="43BD22A5"/>
    <w:rsid w:val="43C755E8"/>
    <w:rsid w:val="4420631A"/>
    <w:rsid w:val="442B201A"/>
    <w:rsid w:val="446B0669"/>
    <w:rsid w:val="44845873"/>
    <w:rsid w:val="4492209A"/>
    <w:rsid w:val="44A616A1"/>
    <w:rsid w:val="44C00EAD"/>
    <w:rsid w:val="44C87249"/>
    <w:rsid w:val="44E64193"/>
    <w:rsid w:val="451A5BEB"/>
    <w:rsid w:val="45240818"/>
    <w:rsid w:val="45303661"/>
    <w:rsid w:val="4552084C"/>
    <w:rsid w:val="455A4F2A"/>
    <w:rsid w:val="45B46040"/>
    <w:rsid w:val="45B93656"/>
    <w:rsid w:val="45BE6EBE"/>
    <w:rsid w:val="45CD4B61"/>
    <w:rsid w:val="45CE5353"/>
    <w:rsid w:val="45FD2F86"/>
    <w:rsid w:val="460427BF"/>
    <w:rsid w:val="4604488D"/>
    <w:rsid w:val="460C5E7C"/>
    <w:rsid w:val="461865CE"/>
    <w:rsid w:val="4642189D"/>
    <w:rsid w:val="4669507C"/>
    <w:rsid w:val="466E4440"/>
    <w:rsid w:val="467E735B"/>
    <w:rsid w:val="4682613E"/>
    <w:rsid w:val="4685178A"/>
    <w:rsid w:val="469F284C"/>
    <w:rsid w:val="46A165C4"/>
    <w:rsid w:val="46B67B95"/>
    <w:rsid w:val="46C71A1C"/>
    <w:rsid w:val="46D63D94"/>
    <w:rsid w:val="46D75FCA"/>
    <w:rsid w:val="46F012F9"/>
    <w:rsid w:val="471254F8"/>
    <w:rsid w:val="47134FE8"/>
    <w:rsid w:val="47242D51"/>
    <w:rsid w:val="47285949"/>
    <w:rsid w:val="475978CA"/>
    <w:rsid w:val="475F022D"/>
    <w:rsid w:val="477A0BC3"/>
    <w:rsid w:val="478C7274"/>
    <w:rsid w:val="47A02B50"/>
    <w:rsid w:val="47A85730"/>
    <w:rsid w:val="47CD5197"/>
    <w:rsid w:val="47CF7161"/>
    <w:rsid w:val="47D65063"/>
    <w:rsid w:val="47E04D97"/>
    <w:rsid w:val="47F22E4F"/>
    <w:rsid w:val="48031B26"/>
    <w:rsid w:val="480706A9"/>
    <w:rsid w:val="480908C5"/>
    <w:rsid w:val="4819662E"/>
    <w:rsid w:val="483B47F6"/>
    <w:rsid w:val="48592ECE"/>
    <w:rsid w:val="486706CB"/>
    <w:rsid w:val="486C0E54"/>
    <w:rsid w:val="48847F4B"/>
    <w:rsid w:val="488717E9"/>
    <w:rsid w:val="488C5052"/>
    <w:rsid w:val="489D100D"/>
    <w:rsid w:val="489F4D85"/>
    <w:rsid w:val="48CC544E"/>
    <w:rsid w:val="48E00EFA"/>
    <w:rsid w:val="48ED7CB8"/>
    <w:rsid w:val="49064E04"/>
    <w:rsid w:val="49066BB2"/>
    <w:rsid w:val="490D3A98"/>
    <w:rsid w:val="4913307D"/>
    <w:rsid w:val="492035B2"/>
    <w:rsid w:val="4933371F"/>
    <w:rsid w:val="493C4382"/>
    <w:rsid w:val="496663B5"/>
    <w:rsid w:val="49746BE6"/>
    <w:rsid w:val="49771038"/>
    <w:rsid w:val="49845D29"/>
    <w:rsid w:val="49BE748D"/>
    <w:rsid w:val="49E50EBD"/>
    <w:rsid w:val="4A031344"/>
    <w:rsid w:val="4A0A26D2"/>
    <w:rsid w:val="4A161077"/>
    <w:rsid w:val="4A282B58"/>
    <w:rsid w:val="4A2E5429"/>
    <w:rsid w:val="4A331C29"/>
    <w:rsid w:val="4A3E412A"/>
    <w:rsid w:val="4A525E27"/>
    <w:rsid w:val="4A7D2EA4"/>
    <w:rsid w:val="4AA76173"/>
    <w:rsid w:val="4AAD305D"/>
    <w:rsid w:val="4AC72371"/>
    <w:rsid w:val="4ADE6471"/>
    <w:rsid w:val="4AEC002A"/>
    <w:rsid w:val="4AF15640"/>
    <w:rsid w:val="4AF34F14"/>
    <w:rsid w:val="4AF62C56"/>
    <w:rsid w:val="4AFE011E"/>
    <w:rsid w:val="4B117A90"/>
    <w:rsid w:val="4B157580"/>
    <w:rsid w:val="4B1A4B97"/>
    <w:rsid w:val="4B337A07"/>
    <w:rsid w:val="4B3774F7"/>
    <w:rsid w:val="4B6B5DE7"/>
    <w:rsid w:val="4B9F6E4A"/>
    <w:rsid w:val="4BB5497F"/>
    <w:rsid w:val="4BBA1ED6"/>
    <w:rsid w:val="4BCE772F"/>
    <w:rsid w:val="4C1710D6"/>
    <w:rsid w:val="4C94751B"/>
    <w:rsid w:val="4CB132D9"/>
    <w:rsid w:val="4CDB0356"/>
    <w:rsid w:val="4CEE1E37"/>
    <w:rsid w:val="4CF40A8F"/>
    <w:rsid w:val="4CFB6302"/>
    <w:rsid w:val="4D111FCA"/>
    <w:rsid w:val="4D135D42"/>
    <w:rsid w:val="4D163965"/>
    <w:rsid w:val="4D292E6F"/>
    <w:rsid w:val="4D471547"/>
    <w:rsid w:val="4D64659D"/>
    <w:rsid w:val="4D930C30"/>
    <w:rsid w:val="4D994499"/>
    <w:rsid w:val="4DA8648A"/>
    <w:rsid w:val="4DC112FA"/>
    <w:rsid w:val="4DCC5629"/>
    <w:rsid w:val="4DF0398D"/>
    <w:rsid w:val="4E10276F"/>
    <w:rsid w:val="4E3A10AC"/>
    <w:rsid w:val="4E760336"/>
    <w:rsid w:val="4E775E5C"/>
    <w:rsid w:val="4E916F1E"/>
    <w:rsid w:val="4EA8070C"/>
    <w:rsid w:val="4EC14B00"/>
    <w:rsid w:val="4EFC3190"/>
    <w:rsid w:val="4EFD2805"/>
    <w:rsid w:val="4F147B4F"/>
    <w:rsid w:val="4F204746"/>
    <w:rsid w:val="4F271630"/>
    <w:rsid w:val="4F425369"/>
    <w:rsid w:val="4F451D45"/>
    <w:rsid w:val="4F4E4E0F"/>
    <w:rsid w:val="4FA26F09"/>
    <w:rsid w:val="4FD277EE"/>
    <w:rsid w:val="4FD33566"/>
    <w:rsid w:val="4FEE03A0"/>
    <w:rsid w:val="4FEE54AF"/>
    <w:rsid w:val="500E27F0"/>
    <w:rsid w:val="50120532"/>
    <w:rsid w:val="50204AFC"/>
    <w:rsid w:val="505C17AE"/>
    <w:rsid w:val="50680152"/>
    <w:rsid w:val="508802F5"/>
    <w:rsid w:val="50923421"/>
    <w:rsid w:val="50964CC0"/>
    <w:rsid w:val="50AD2009"/>
    <w:rsid w:val="50B02BF7"/>
    <w:rsid w:val="50BE4216"/>
    <w:rsid w:val="50C74637"/>
    <w:rsid w:val="50C90A0E"/>
    <w:rsid w:val="50D40690"/>
    <w:rsid w:val="50E33C7D"/>
    <w:rsid w:val="51053BF3"/>
    <w:rsid w:val="510C2192"/>
    <w:rsid w:val="510E0CFA"/>
    <w:rsid w:val="51114346"/>
    <w:rsid w:val="51134562"/>
    <w:rsid w:val="51167D62"/>
    <w:rsid w:val="512978E2"/>
    <w:rsid w:val="51646B6C"/>
    <w:rsid w:val="51695F30"/>
    <w:rsid w:val="516A3A56"/>
    <w:rsid w:val="517A6C31"/>
    <w:rsid w:val="518965D2"/>
    <w:rsid w:val="518C60C3"/>
    <w:rsid w:val="519A433C"/>
    <w:rsid w:val="51A76A58"/>
    <w:rsid w:val="51AE6039"/>
    <w:rsid w:val="51B7313F"/>
    <w:rsid w:val="51CF59B9"/>
    <w:rsid w:val="51D27F79"/>
    <w:rsid w:val="51D3784E"/>
    <w:rsid w:val="51D6476D"/>
    <w:rsid w:val="5207159F"/>
    <w:rsid w:val="52152120"/>
    <w:rsid w:val="52331875"/>
    <w:rsid w:val="5246001F"/>
    <w:rsid w:val="524810E8"/>
    <w:rsid w:val="52642B9B"/>
    <w:rsid w:val="52A145C3"/>
    <w:rsid w:val="53114AD1"/>
    <w:rsid w:val="532365B3"/>
    <w:rsid w:val="534E7AD3"/>
    <w:rsid w:val="53682217"/>
    <w:rsid w:val="537B019D"/>
    <w:rsid w:val="5391176E"/>
    <w:rsid w:val="53A476F3"/>
    <w:rsid w:val="53AC0356"/>
    <w:rsid w:val="53B84F4D"/>
    <w:rsid w:val="53C733E2"/>
    <w:rsid w:val="53D1600F"/>
    <w:rsid w:val="53F87A3F"/>
    <w:rsid w:val="54183C3E"/>
    <w:rsid w:val="5426635A"/>
    <w:rsid w:val="54352A41"/>
    <w:rsid w:val="544669FD"/>
    <w:rsid w:val="544F3B03"/>
    <w:rsid w:val="5458228C"/>
    <w:rsid w:val="545B6E0C"/>
    <w:rsid w:val="54640C31"/>
    <w:rsid w:val="54686973"/>
    <w:rsid w:val="546E7D01"/>
    <w:rsid w:val="547075D6"/>
    <w:rsid w:val="5479292E"/>
    <w:rsid w:val="547A66A6"/>
    <w:rsid w:val="54890697"/>
    <w:rsid w:val="54C31DFB"/>
    <w:rsid w:val="54ED50CA"/>
    <w:rsid w:val="54FC530D"/>
    <w:rsid w:val="55286102"/>
    <w:rsid w:val="552A59D6"/>
    <w:rsid w:val="552C471F"/>
    <w:rsid w:val="553625CD"/>
    <w:rsid w:val="5543118E"/>
    <w:rsid w:val="556829A3"/>
    <w:rsid w:val="55684751"/>
    <w:rsid w:val="5572144D"/>
    <w:rsid w:val="55B55BE8"/>
    <w:rsid w:val="55B94FAC"/>
    <w:rsid w:val="55C93441"/>
    <w:rsid w:val="55E42029"/>
    <w:rsid w:val="55EB2B55"/>
    <w:rsid w:val="55EC35D4"/>
    <w:rsid w:val="56356D29"/>
    <w:rsid w:val="563F1955"/>
    <w:rsid w:val="56493397"/>
    <w:rsid w:val="565C42B5"/>
    <w:rsid w:val="566D0271"/>
    <w:rsid w:val="566D64C3"/>
    <w:rsid w:val="56B22127"/>
    <w:rsid w:val="56B440F1"/>
    <w:rsid w:val="56CF2CD9"/>
    <w:rsid w:val="56D025AE"/>
    <w:rsid w:val="56D837F9"/>
    <w:rsid w:val="56E9366F"/>
    <w:rsid w:val="56F049FE"/>
    <w:rsid w:val="57016C0B"/>
    <w:rsid w:val="57090412"/>
    <w:rsid w:val="570B1D0C"/>
    <w:rsid w:val="570C6E33"/>
    <w:rsid w:val="5737087F"/>
    <w:rsid w:val="57730C1D"/>
    <w:rsid w:val="57763155"/>
    <w:rsid w:val="57831D16"/>
    <w:rsid w:val="578754A0"/>
    <w:rsid w:val="580544D9"/>
    <w:rsid w:val="581035A9"/>
    <w:rsid w:val="58156E12"/>
    <w:rsid w:val="58337298"/>
    <w:rsid w:val="584119B5"/>
    <w:rsid w:val="584274DB"/>
    <w:rsid w:val="58466FCB"/>
    <w:rsid w:val="58490869"/>
    <w:rsid w:val="585711D8"/>
    <w:rsid w:val="585F366F"/>
    <w:rsid w:val="586F0925"/>
    <w:rsid w:val="58795964"/>
    <w:rsid w:val="588875E4"/>
    <w:rsid w:val="58953BEB"/>
    <w:rsid w:val="589917F1"/>
    <w:rsid w:val="58D81BED"/>
    <w:rsid w:val="58EE31BF"/>
    <w:rsid w:val="590D5D3B"/>
    <w:rsid w:val="591946E0"/>
    <w:rsid w:val="592D1F39"/>
    <w:rsid w:val="593432C8"/>
    <w:rsid w:val="593C217C"/>
    <w:rsid w:val="5953492C"/>
    <w:rsid w:val="595B4CF8"/>
    <w:rsid w:val="596A4F3B"/>
    <w:rsid w:val="599F3DB8"/>
    <w:rsid w:val="59A246D5"/>
    <w:rsid w:val="59AC4D7A"/>
    <w:rsid w:val="59CD7278"/>
    <w:rsid w:val="59CF4D9E"/>
    <w:rsid w:val="59D10B16"/>
    <w:rsid w:val="59D16D68"/>
    <w:rsid w:val="59D979CB"/>
    <w:rsid w:val="59E545C2"/>
    <w:rsid w:val="59F1740B"/>
    <w:rsid w:val="5A00764E"/>
    <w:rsid w:val="5A2A46CB"/>
    <w:rsid w:val="5A2E7D17"/>
    <w:rsid w:val="5A3E3CD2"/>
    <w:rsid w:val="5A517EA9"/>
    <w:rsid w:val="5A5F25C6"/>
    <w:rsid w:val="5A6279C1"/>
    <w:rsid w:val="5A7E1B39"/>
    <w:rsid w:val="5A9E7F3F"/>
    <w:rsid w:val="5AC71F19"/>
    <w:rsid w:val="5ACC35A2"/>
    <w:rsid w:val="5AD703AE"/>
    <w:rsid w:val="5AD92379"/>
    <w:rsid w:val="5ADA7E9F"/>
    <w:rsid w:val="5AFE1DDF"/>
    <w:rsid w:val="5B0B62AA"/>
    <w:rsid w:val="5B1038C0"/>
    <w:rsid w:val="5B231846"/>
    <w:rsid w:val="5B2D7FCE"/>
    <w:rsid w:val="5B3C46B5"/>
    <w:rsid w:val="5B3C6463"/>
    <w:rsid w:val="5B637E94"/>
    <w:rsid w:val="5B7820D4"/>
    <w:rsid w:val="5B791466"/>
    <w:rsid w:val="5B894B3B"/>
    <w:rsid w:val="5B953DC6"/>
    <w:rsid w:val="5B9C6F02"/>
    <w:rsid w:val="5BBC75A4"/>
    <w:rsid w:val="5BCA3A6F"/>
    <w:rsid w:val="5BEC67CB"/>
    <w:rsid w:val="5C090A3C"/>
    <w:rsid w:val="5C0D1BAE"/>
    <w:rsid w:val="5C0F5926"/>
    <w:rsid w:val="5C1351B7"/>
    <w:rsid w:val="5C1967A5"/>
    <w:rsid w:val="5C204225"/>
    <w:rsid w:val="5C205D85"/>
    <w:rsid w:val="5C2D5D25"/>
    <w:rsid w:val="5C5872CD"/>
    <w:rsid w:val="5C7377D4"/>
    <w:rsid w:val="5C764DF0"/>
    <w:rsid w:val="5C967DF5"/>
    <w:rsid w:val="5CDD77D2"/>
    <w:rsid w:val="5CF76AE6"/>
    <w:rsid w:val="5D066D29"/>
    <w:rsid w:val="5D0E426D"/>
    <w:rsid w:val="5D2C08D4"/>
    <w:rsid w:val="5D2E44D2"/>
    <w:rsid w:val="5D2F6844"/>
    <w:rsid w:val="5D32027A"/>
    <w:rsid w:val="5D755C5D"/>
    <w:rsid w:val="5D77168C"/>
    <w:rsid w:val="5D8E2294"/>
    <w:rsid w:val="5D8F3D13"/>
    <w:rsid w:val="5D9B1B67"/>
    <w:rsid w:val="5DAA1DAA"/>
    <w:rsid w:val="5DBE5856"/>
    <w:rsid w:val="5DD62B9F"/>
    <w:rsid w:val="5DD76917"/>
    <w:rsid w:val="5DF23751"/>
    <w:rsid w:val="5DF72B16"/>
    <w:rsid w:val="5E052FC6"/>
    <w:rsid w:val="5E0771FD"/>
    <w:rsid w:val="5E176D14"/>
    <w:rsid w:val="5E190CDE"/>
    <w:rsid w:val="5E1B2CA8"/>
    <w:rsid w:val="5E280F21"/>
    <w:rsid w:val="5E2A4C99"/>
    <w:rsid w:val="5E341674"/>
    <w:rsid w:val="5E394EDC"/>
    <w:rsid w:val="5E5B30A5"/>
    <w:rsid w:val="5E797E96"/>
    <w:rsid w:val="5E7C7436"/>
    <w:rsid w:val="5E82124F"/>
    <w:rsid w:val="5E8412B9"/>
    <w:rsid w:val="5E8B1BDC"/>
    <w:rsid w:val="5E8E5228"/>
    <w:rsid w:val="5E9D546B"/>
    <w:rsid w:val="5EAA6F5F"/>
    <w:rsid w:val="5EC724E8"/>
    <w:rsid w:val="5F3C2ED6"/>
    <w:rsid w:val="5F447FDD"/>
    <w:rsid w:val="5F812FDF"/>
    <w:rsid w:val="5F887EC9"/>
    <w:rsid w:val="5F903222"/>
    <w:rsid w:val="5F9920D6"/>
    <w:rsid w:val="5F9C3975"/>
    <w:rsid w:val="5FCC24AC"/>
    <w:rsid w:val="5FEF1CF6"/>
    <w:rsid w:val="5FF11F12"/>
    <w:rsid w:val="5FFA7FD3"/>
    <w:rsid w:val="60003F04"/>
    <w:rsid w:val="60082DB8"/>
    <w:rsid w:val="600A6B30"/>
    <w:rsid w:val="6014175D"/>
    <w:rsid w:val="60275934"/>
    <w:rsid w:val="604C0EF7"/>
    <w:rsid w:val="604C539B"/>
    <w:rsid w:val="606C3347"/>
    <w:rsid w:val="607641C6"/>
    <w:rsid w:val="60956D42"/>
    <w:rsid w:val="60A2320D"/>
    <w:rsid w:val="60AB2104"/>
    <w:rsid w:val="60B62814"/>
    <w:rsid w:val="60BA0556"/>
    <w:rsid w:val="60C56EFB"/>
    <w:rsid w:val="60DA61FD"/>
    <w:rsid w:val="61096DE8"/>
    <w:rsid w:val="610E08A2"/>
    <w:rsid w:val="61157468"/>
    <w:rsid w:val="611D6D37"/>
    <w:rsid w:val="61571B79"/>
    <w:rsid w:val="616A054D"/>
    <w:rsid w:val="6192502F"/>
    <w:rsid w:val="619A0388"/>
    <w:rsid w:val="619D5782"/>
    <w:rsid w:val="61B35DEE"/>
    <w:rsid w:val="61C6117D"/>
    <w:rsid w:val="61E57855"/>
    <w:rsid w:val="621C2B4B"/>
    <w:rsid w:val="62255EA3"/>
    <w:rsid w:val="62266ADB"/>
    <w:rsid w:val="624502F4"/>
    <w:rsid w:val="624A590A"/>
    <w:rsid w:val="626544F2"/>
    <w:rsid w:val="627604AD"/>
    <w:rsid w:val="6280757E"/>
    <w:rsid w:val="628801E0"/>
    <w:rsid w:val="62E0799D"/>
    <w:rsid w:val="632443BB"/>
    <w:rsid w:val="632A1297"/>
    <w:rsid w:val="63750765"/>
    <w:rsid w:val="637D4911"/>
    <w:rsid w:val="638135AD"/>
    <w:rsid w:val="638C5AAE"/>
    <w:rsid w:val="63AD6150"/>
    <w:rsid w:val="63B533AB"/>
    <w:rsid w:val="63C811DC"/>
    <w:rsid w:val="63F21DB5"/>
    <w:rsid w:val="63FC0E86"/>
    <w:rsid w:val="6401796E"/>
    <w:rsid w:val="640C72AC"/>
    <w:rsid w:val="641954FE"/>
    <w:rsid w:val="64354398"/>
    <w:rsid w:val="643B19AE"/>
    <w:rsid w:val="64754F8C"/>
    <w:rsid w:val="64A357A5"/>
    <w:rsid w:val="64AB5BCE"/>
    <w:rsid w:val="64F47DAF"/>
    <w:rsid w:val="65044496"/>
    <w:rsid w:val="65143FAD"/>
    <w:rsid w:val="65493C57"/>
    <w:rsid w:val="655820EC"/>
    <w:rsid w:val="655C6080"/>
    <w:rsid w:val="6569254B"/>
    <w:rsid w:val="657C6BE0"/>
    <w:rsid w:val="65B80DDC"/>
    <w:rsid w:val="65CB0B10"/>
    <w:rsid w:val="65CD0D2C"/>
    <w:rsid w:val="65DA51F7"/>
    <w:rsid w:val="662126F7"/>
    <w:rsid w:val="6623094C"/>
    <w:rsid w:val="662841B4"/>
    <w:rsid w:val="663E5786"/>
    <w:rsid w:val="665C5C0C"/>
    <w:rsid w:val="665F56FC"/>
    <w:rsid w:val="66903B07"/>
    <w:rsid w:val="66B21CD0"/>
    <w:rsid w:val="66E225B5"/>
    <w:rsid w:val="66EC6F90"/>
    <w:rsid w:val="67002A3B"/>
    <w:rsid w:val="67346B89"/>
    <w:rsid w:val="674A015A"/>
    <w:rsid w:val="675B5EC3"/>
    <w:rsid w:val="67654F94"/>
    <w:rsid w:val="67696832"/>
    <w:rsid w:val="677551D7"/>
    <w:rsid w:val="6780592A"/>
    <w:rsid w:val="678216A2"/>
    <w:rsid w:val="67843F1F"/>
    <w:rsid w:val="67B81568"/>
    <w:rsid w:val="67D5211A"/>
    <w:rsid w:val="67DB4E0D"/>
    <w:rsid w:val="67DD4B2A"/>
    <w:rsid w:val="67F500C6"/>
    <w:rsid w:val="67FF2CF3"/>
    <w:rsid w:val="6817628E"/>
    <w:rsid w:val="68286893"/>
    <w:rsid w:val="682D5AB2"/>
    <w:rsid w:val="683F1D60"/>
    <w:rsid w:val="6841482B"/>
    <w:rsid w:val="685D47F2"/>
    <w:rsid w:val="685F19E3"/>
    <w:rsid w:val="68792AA5"/>
    <w:rsid w:val="68906041"/>
    <w:rsid w:val="68964539"/>
    <w:rsid w:val="68A51AEC"/>
    <w:rsid w:val="68B7181F"/>
    <w:rsid w:val="68CA1553"/>
    <w:rsid w:val="68E343C2"/>
    <w:rsid w:val="68F77E6E"/>
    <w:rsid w:val="691C7330"/>
    <w:rsid w:val="692B02D6"/>
    <w:rsid w:val="69401815"/>
    <w:rsid w:val="694F48EC"/>
    <w:rsid w:val="695928D6"/>
    <w:rsid w:val="695F7FE4"/>
    <w:rsid w:val="696B4FDB"/>
    <w:rsid w:val="69780FAF"/>
    <w:rsid w:val="698F00A6"/>
    <w:rsid w:val="69A27DD9"/>
    <w:rsid w:val="69BB533F"/>
    <w:rsid w:val="69EA352F"/>
    <w:rsid w:val="69F32ABE"/>
    <w:rsid w:val="6A193BEF"/>
    <w:rsid w:val="6A2462E4"/>
    <w:rsid w:val="6A266C5C"/>
    <w:rsid w:val="6A5457B2"/>
    <w:rsid w:val="6A596AA8"/>
    <w:rsid w:val="6A975464"/>
    <w:rsid w:val="6AD2649C"/>
    <w:rsid w:val="6AE62370"/>
    <w:rsid w:val="6AE661C6"/>
    <w:rsid w:val="6AF81022"/>
    <w:rsid w:val="6B173181"/>
    <w:rsid w:val="6B2036AC"/>
    <w:rsid w:val="6B217424"/>
    <w:rsid w:val="6B2A6B0F"/>
    <w:rsid w:val="6B3158B9"/>
    <w:rsid w:val="6B543355"/>
    <w:rsid w:val="6B5E41D4"/>
    <w:rsid w:val="6B6645F0"/>
    <w:rsid w:val="6B713F07"/>
    <w:rsid w:val="6B7457A6"/>
    <w:rsid w:val="6B8D3AB3"/>
    <w:rsid w:val="6B8D6867"/>
    <w:rsid w:val="6B920ED5"/>
    <w:rsid w:val="6BA51E03"/>
    <w:rsid w:val="6BB12556"/>
    <w:rsid w:val="6BE26BB3"/>
    <w:rsid w:val="6BE7241B"/>
    <w:rsid w:val="6BEA3CBA"/>
    <w:rsid w:val="6C027255"/>
    <w:rsid w:val="6C172D01"/>
    <w:rsid w:val="6C1B3E73"/>
    <w:rsid w:val="6C223454"/>
    <w:rsid w:val="6C33740F"/>
    <w:rsid w:val="6C376EFF"/>
    <w:rsid w:val="6C422016"/>
    <w:rsid w:val="6C5D26DE"/>
    <w:rsid w:val="6C6121CE"/>
    <w:rsid w:val="6C7740D7"/>
    <w:rsid w:val="6C8E0AE9"/>
    <w:rsid w:val="6C9A748E"/>
    <w:rsid w:val="6CB26586"/>
    <w:rsid w:val="6CD3474E"/>
    <w:rsid w:val="6CE908F0"/>
    <w:rsid w:val="6D035033"/>
    <w:rsid w:val="6D050DAB"/>
    <w:rsid w:val="6D0B213A"/>
    <w:rsid w:val="6D0F50F4"/>
    <w:rsid w:val="6D321474"/>
    <w:rsid w:val="6D396CA7"/>
    <w:rsid w:val="6D3B2A1F"/>
    <w:rsid w:val="6D3E606B"/>
    <w:rsid w:val="6D611D5A"/>
    <w:rsid w:val="6D6B4986"/>
    <w:rsid w:val="6D723F67"/>
    <w:rsid w:val="6D864075"/>
    <w:rsid w:val="6DD469CF"/>
    <w:rsid w:val="6DF66946"/>
    <w:rsid w:val="6DFF3A4C"/>
    <w:rsid w:val="6E012444"/>
    <w:rsid w:val="6E2A4841"/>
    <w:rsid w:val="6E5A360C"/>
    <w:rsid w:val="6E71421E"/>
    <w:rsid w:val="6E757966"/>
    <w:rsid w:val="6E8842D7"/>
    <w:rsid w:val="6E8D7B57"/>
    <w:rsid w:val="6E986E19"/>
    <w:rsid w:val="6EAD51A3"/>
    <w:rsid w:val="6EB751E9"/>
    <w:rsid w:val="6EBD1212"/>
    <w:rsid w:val="6EC81E87"/>
    <w:rsid w:val="6ECD58F9"/>
    <w:rsid w:val="6ED24CBD"/>
    <w:rsid w:val="6EED48E5"/>
    <w:rsid w:val="6EED7D49"/>
    <w:rsid w:val="6EEE586F"/>
    <w:rsid w:val="6F0357BE"/>
    <w:rsid w:val="6F10216C"/>
    <w:rsid w:val="6F1A6664"/>
    <w:rsid w:val="6F5E0C47"/>
    <w:rsid w:val="6F712728"/>
    <w:rsid w:val="6F9957DB"/>
    <w:rsid w:val="6F9B1553"/>
    <w:rsid w:val="6FA50623"/>
    <w:rsid w:val="6FE54EC4"/>
    <w:rsid w:val="70182BA3"/>
    <w:rsid w:val="70227EC6"/>
    <w:rsid w:val="70311EB7"/>
    <w:rsid w:val="704A71AA"/>
    <w:rsid w:val="705067E1"/>
    <w:rsid w:val="7064403B"/>
    <w:rsid w:val="70814BED"/>
    <w:rsid w:val="708E10B8"/>
    <w:rsid w:val="709A7A5C"/>
    <w:rsid w:val="709D579F"/>
    <w:rsid w:val="70BA1EAD"/>
    <w:rsid w:val="70C26FB3"/>
    <w:rsid w:val="70CA344A"/>
    <w:rsid w:val="70DC1E23"/>
    <w:rsid w:val="70E44C30"/>
    <w:rsid w:val="70EB650A"/>
    <w:rsid w:val="71100124"/>
    <w:rsid w:val="7128150C"/>
    <w:rsid w:val="71466879"/>
    <w:rsid w:val="714D4ACF"/>
    <w:rsid w:val="71696088"/>
    <w:rsid w:val="717B3DB2"/>
    <w:rsid w:val="71881FAB"/>
    <w:rsid w:val="71A52B5D"/>
    <w:rsid w:val="71AB7A47"/>
    <w:rsid w:val="71AD1A11"/>
    <w:rsid w:val="71B94019"/>
    <w:rsid w:val="71C1726B"/>
    <w:rsid w:val="71C805F9"/>
    <w:rsid w:val="71C82FFB"/>
    <w:rsid w:val="71DB032D"/>
    <w:rsid w:val="71EF3DD8"/>
    <w:rsid w:val="71F31B1A"/>
    <w:rsid w:val="7219572D"/>
    <w:rsid w:val="72A746B3"/>
    <w:rsid w:val="72A76461"/>
    <w:rsid w:val="72AC5C73"/>
    <w:rsid w:val="72B71511"/>
    <w:rsid w:val="72BF4C2A"/>
    <w:rsid w:val="72DD6326"/>
    <w:rsid w:val="72E318D4"/>
    <w:rsid w:val="72EC6569"/>
    <w:rsid w:val="733A72D5"/>
    <w:rsid w:val="73495FB6"/>
    <w:rsid w:val="735F0AE9"/>
    <w:rsid w:val="73685BF0"/>
    <w:rsid w:val="73C848E1"/>
    <w:rsid w:val="73CD76B7"/>
    <w:rsid w:val="74324450"/>
    <w:rsid w:val="745A5E80"/>
    <w:rsid w:val="746C1710"/>
    <w:rsid w:val="74A25306"/>
    <w:rsid w:val="74B35591"/>
    <w:rsid w:val="74B530B7"/>
    <w:rsid w:val="74B66E2F"/>
    <w:rsid w:val="74CB28DA"/>
    <w:rsid w:val="750758DC"/>
    <w:rsid w:val="7521074C"/>
    <w:rsid w:val="75267B11"/>
    <w:rsid w:val="752E72F7"/>
    <w:rsid w:val="753F5076"/>
    <w:rsid w:val="75497CA3"/>
    <w:rsid w:val="75705230"/>
    <w:rsid w:val="75792336"/>
    <w:rsid w:val="75840CDB"/>
    <w:rsid w:val="75882579"/>
    <w:rsid w:val="759A2952"/>
    <w:rsid w:val="759A405B"/>
    <w:rsid w:val="75AB6268"/>
    <w:rsid w:val="75AC412E"/>
    <w:rsid w:val="75B01AD0"/>
    <w:rsid w:val="75D457BF"/>
    <w:rsid w:val="75F25C45"/>
    <w:rsid w:val="76261D92"/>
    <w:rsid w:val="762F0C47"/>
    <w:rsid w:val="763879CE"/>
    <w:rsid w:val="7654545E"/>
    <w:rsid w:val="766E5C13"/>
    <w:rsid w:val="767D4EEB"/>
    <w:rsid w:val="76B178AE"/>
    <w:rsid w:val="76CE66B2"/>
    <w:rsid w:val="770025E3"/>
    <w:rsid w:val="7706409E"/>
    <w:rsid w:val="778C3E77"/>
    <w:rsid w:val="779A6594"/>
    <w:rsid w:val="77BC29AE"/>
    <w:rsid w:val="77BD79CB"/>
    <w:rsid w:val="77E3618D"/>
    <w:rsid w:val="77EB6DF0"/>
    <w:rsid w:val="77FF336D"/>
    <w:rsid w:val="78086C20"/>
    <w:rsid w:val="781476C3"/>
    <w:rsid w:val="7830024C"/>
    <w:rsid w:val="78300CA6"/>
    <w:rsid w:val="7866291A"/>
    <w:rsid w:val="786A240A"/>
    <w:rsid w:val="786A368E"/>
    <w:rsid w:val="78882890"/>
    <w:rsid w:val="78A1309D"/>
    <w:rsid w:val="78A376CA"/>
    <w:rsid w:val="78A503CE"/>
    <w:rsid w:val="78C23FF4"/>
    <w:rsid w:val="78E8409A"/>
    <w:rsid w:val="78EC2860"/>
    <w:rsid w:val="792841C7"/>
    <w:rsid w:val="792E168A"/>
    <w:rsid w:val="793F5645"/>
    <w:rsid w:val="79680CB6"/>
    <w:rsid w:val="79690914"/>
    <w:rsid w:val="797177C8"/>
    <w:rsid w:val="797A667D"/>
    <w:rsid w:val="79A8143C"/>
    <w:rsid w:val="79C43D9C"/>
    <w:rsid w:val="79D20267"/>
    <w:rsid w:val="79E65AC0"/>
    <w:rsid w:val="79F24465"/>
    <w:rsid w:val="7A097A01"/>
    <w:rsid w:val="7A454EDD"/>
    <w:rsid w:val="7A5213A8"/>
    <w:rsid w:val="7A684727"/>
    <w:rsid w:val="7A6B02BC"/>
    <w:rsid w:val="7A765096"/>
    <w:rsid w:val="7A7E3F4B"/>
    <w:rsid w:val="7AAA4D40"/>
    <w:rsid w:val="7AAC6D0A"/>
    <w:rsid w:val="7AAD2A82"/>
    <w:rsid w:val="7ACA3634"/>
    <w:rsid w:val="7ACD0A2E"/>
    <w:rsid w:val="7AFE4EC9"/>
    <w:rsid w:val="7B073F40"/>
    <w:rsid w:val="7B0C1557"/>
    <w:rsid w:val="7B4919CB"/>
    <w:rsid w:val="7B542EFE"/>
    <w:rsid w:val="7B6409E9"/>
    <w:rsid w:val="7B7303AF"/>
    <w:rsid w:val="7B841709"/>
    <w:rsid w:val="7B8C2698"/>
    <w:rsid w:val="7BDF4EBD"/>
    <w:rsid w:val="7BF72207"/>
    <w:rsid w:val="7C191FBE"/>
    <w:rsid w:val="7C5B09E8"/>
    <w:rsid w:val="7C6B04FF"/>
    <w:rsid w:val="7C773348"/>
    <w:rsid w:val="7C835849"/>
    <w:rsid w:val="7C8D3DAD"/>
    <w:rsid w:val="7C9061B7"/>
    <w:rsid w:val="7CA53A11"/>
    <w:rsid w:val="7CAF2AE1"/>
    <w:rsid w:val="7CC0084B"/>
    <w:rsid w:val="7CDB5685"/>
    <w:rsid w:val="7CFD4960"/>
    <w:rsid w:val="7D080444"/>
    <w:rsid w:val="7D2A03BA"/>
    <w:rsid w:val="7D2E7F9F"/>
    <w:rsid w:val="7D2F3C22"/>
    <w:rsid w:val="7D567401"/>
    <w:rsid w:val="7D7D04EA"/>
    <w:rsid w:val="7D821FA4"/>
    <w:rsid w:val="7D891584"/>
    <w:rsid w:val="7D9121E7"/>
    <w:rsid w:val="7DAA24C7"/>
    <w:rsid w:val="7DB71796"/>
    <w:rsid w:val="7DBD6829"/>
    <w:rsid w:val="7DC425BD"/>
    <w:rsid w:val="7DCD0E29"/>
    <w:rsid w:val="7DE20C95"/>
    <w:rsid w:val="7E0806FB"/>
    <w:rsid w:val="7E123328"/>
    <w:rsid w:val="7E1F5A45"/>
    <w:rsid w:val="7E254C45"/>
    <w:rsid w:val="7E307C52"/>
    <w:rsid w:val="7E351C18"/>
    <w:rsid w:val="7E4E00D8"/>
    <w:rsid w:val="7E5356EF"/>
    <w:rsid w:val="7E5C45A3"/>
    <w:rsid w:val="7EE70A2E"/>
    <w:rsid w:val="7EEF18BB"/>
    <w:rsid w:val="7F085295"/>
    <w:rsid w:val="7F315A30"/>
    <w:rsid w:val="7F413799"/>
    <w:rsid w:val="7F5259A6"/>
    <w:rsid w:val="7F5B2AAD"/>
    <w:rsid w:val="7F5B485B"/>
    <w:rsid w:val="7F671451"/>
    <w:rsid w:val="7F7025A7"/>
    <w:rsid w:val="7F7122D0"/>
    <w:rsid w:val="7F743B6E"/>
    <w:rsid w:val="7F8B42DE"/>
    <w:rsid w:val="7F9B559F"/>
    <w:rsid w:val="7FA721FA"/>
    <w:rsid w:val="7FEA5BDF"/>
    <w:rsid w:val="7FEC6CC2"/>
    <w:rsid w:val="7FF07699"/>
    <w:rsid w:val="7FF54CAF"/>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3903</Words>
  <Characters>4133</Characters>
  <Lines>0</Lines>
  <Paragraphs>0</Paragraphs>
  <TotalTime>18</TotalTime>
  <ScaleCrop>false</ScaleCrop>
  <LinksUpToDate>false</LinksUpToDate>
  <CharactersWithSpaces>4189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2021-12-06T06:40:00Z</dcterms:created>
  <dc:creator>Administrator</dc:creator>
  <cp:lastModifiedBy>春暖、花会开</cp:lastModifiedBy>
  <dcterms:modified xsi:type="dcterms:W3CDTF">2022-03-16T08:45:00Z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4CA424C214814ECB9609052DDF47314C</vt:lpwstr>
  </property>
</Properties>
</file>