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南阳职业学体育工作评估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第四次自评检查单位材料提交得分情况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3"/>
        <w:tblW w:w="9318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425"/>
        <w:gridCol w:w="1555"/>
        <w:gridCol w:w="1532"/>
        <w:gridCol w:w="142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应提交合格材料数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实际提交材料数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提交率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提交材料合格率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100%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发展规划处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100%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教育评价中心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100%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100%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  <w:t>100%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100%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86.7%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100%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93.8%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后勤处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100%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95%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MzNiMjk4MGJiMDE2MjFjNDBhYmNmMzY1YmNjMTcifQ=="/>
  </w:docVars>
  <w:rsids>
    <w:rsidRoot w:val="00000000"/>
    <w:rsid w:val="193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2022-09-14T02:20:50Z</dcterms:created>
  <dc:creator>QWZ</dc:creator>
  <cp:lastModifiedBy>齐齐思妙想</cp:lastModifiedBy>
  <dcterms:modified xsi:type="dcterms:W3CDTF">2022-09-14T02:21:08Z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C63C4EAE3CA94AF2902F94A51D941FB9</vt:lpwstr>
  </property>
</Properties>
</file>